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16367</w:t>
      </w:r>
      <w:bookmarkStart w:id="5" w:name="_GoBack"/>
      <w:bookmarkEnd w:id="5"/>
      <w:r>
        <w:rPr>
          <w:rFonts w:hint="eastAsia" w:eastAsia="宋体" w:cs="Arial"/>
          <w:b/>
          <w:sz w:val="24"/>
          <w:szCs w:val="24"/>
          <w:lang w:val="en-US" w:eastAsia="zh-CN"/>
        </w:rPr>
        <w:t xml:space="preserve">                        </w:t>
      </w:r>
    </w:p>
    <w:p>
      <w:pPr>
        <w:pStyle w:val="24"/>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6.23.4.2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pPr>
      <w:r>
        <w:t>Intro</w:t>
      </w:r>
      <w:r>
        <w:rPr>
          <w:rStyle w:val="76"/>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2"/>
        <w:spacing w:before="180" w:after="120"/>
        <w:ind w:left="431" w:hanging="431"/>
      </w:pPr>
      <w:r>
        <w:t>Discussion</w:t>
      </w:r>
    </w:p>
    <w:p>
      <w:pPr>
        <w:pStyle w:val="3"/>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default"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3"/>
        <w:rPr>
          <w:rFonts w:eastAsiaTheme="minorEastAsia"/>
        </w:rPr>
      </w:pPr>
      <w:r>
        <w:rPr>
          <w:rFonts w:eastAsiaTheme="minorEastAsia"/>
        </w:rPr>
        <w:t>Core requirements to be specified for LP-WUR measurement</w:t>
      </w:r>
      <w:r>
        <w:rPr>
          <w:rFonts w:hint="eastAsia" w:eastAsiaTheme="minorEastAsia"/>
          <w:lang w:val="en-US" w:eastAsia="zh-CN"/>
        </w:rPr>
        <w:t xml:space="preserve"> in IDLE/INACTIVE state</w:t>
      </w:r>
    </w:p>
    <w:p>
      <w:pPr>
        <w:spacing w:before="120" w:after="120"/>
        <w:jc w:val="both"/>
        <w:rPr>
          <w:rFonts w:hint="eastAsia"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 xml:space="preserve">ccording to WI, it specifies that the RAN4 </w:t>
      </w:r>
      <w:r>
        <w:rPr>
          <w:rFonts w:hint="eastAsia" w:eastAsiaTheme="minorEastAsia"/>
          <w:color w:val="000000"/>
          <w:lang w:val="en-US" w:eastAsia="zh-CN"/>
        </w:rPr>
        <w:t>should</w:t>
      </w:r>
      <w:r>
        <w:rPr>
          <w:rFonts w:eastAsiaTheme="minorEastAsia"/>
          <w:color w:val="000000"/>
          <w:lang w:val="en-US" w:eastAsia="zh-CN"/>
        </w:rPr>
        <w:t xml:space="preserve"> define the core requirements to support the feature. In this part, we mainly analyze the </w:t>
      </w:r>
      <w:r>
        <w:rPr>
          <w:rFonts w:hint="eastAsia" w:eastAsiaTheme="minorEastAsia"/>
          <w:color w:val="000000"/>
          <w:lang w:val="en-US" w:eastAsia="zh-CN"/>
        </w:rPr>
        <w:t>UE camps on different receivers</w:t>
      </w:r>
      <w:r>
        <w:rPr>
          <w:rFonts w:eastAsiaTheme="minorEastAsia"/>
          <w:color w:val="000000"/>
          <w:lang w:val="en-US" w:eastAsia="zh-CN"/>
        </w:rPr>
        <w:t xml:space="preserve"> and related core requirements combining with the progress and agreements in other groups.</w:t>
      </w:r>
      <w:r>
        <w:rPr>
          <w:rFonts w:hint="eastAsia" w:eastAsiaTheme="minorEastAsia"/>
          <w:color w:val="000000"/>
          <w:lang w:val="en-US" w:eastAsia="zh-CN"/>
        </w:rPr>
        <w:t xml:space="preserve"> In this part, we primarily study the different cases under entry/exit conditions and specify the related RRM requirements, especially MR relaxation requirements for serving/neighbour cell and LR measurement requirements.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spacing w:before="120" w:after="120"/>
        <w:jc w:val="both"/>
        <w:rPr>
          <w:rFonts w:hint="default" w:eastAsiaTheme="minorEastAsia"/>
          <w:color w:val="000000"/>
          <w:lang w:val="en-US" w:eastAsia="zh-CN"/>
        </w:rPr>
      </w:pPr>
    </w:p>
    <w:p>
      <w:pPr>
        <w:pStyle w:val="4"/>
        <w:rPr>
          <w:rFonts w:eastAsiaTheme="minorEastAsia"/>
          <w:lang w:val="en-US" w:eastAsia="zh-CN"/>
        </w:rPr>
      </w:pPr>
      <w:r>
        <w:rPr>
          <w:rFonts w:eastAsiaTheme="minorEastAsia"/>
          <w:lang w:val="en-US" w:eastAsia="zh-CN"/>
        </w:rPr>
        <w:t xml:space="preserve">Requirements on </w:t>
      </w:r>
      <w:r>
        <w:rPr>
          <w:rFonts w:hint="eastAsia" w:eastAsiaTheme="minorEastAsia"/>
          <w:lang w:val="en-US" w:eastAsia="zh-CN"/>
        </w:rPr>
        <w:t xml:space="preserve">cases with/without configured </w:t>
      </w:r>
      <w:r>
        <w:rPr>
          <w:rFonts w:hint="eastAsia" w:eastAsiaTheme="minorEastAsia"/>
          <w:i/>
          <w:iCs/>
          <w:lang w:val="en-US" w:eastAsia="zh-CN"/>
        </w:rPr>
        <w:t>High Priority Frequency</w:t>
      </w:r>
    </w:p>
    <w:p>
      <w:pPr>
        <w:overflowPunct w:val="0"/>
        <w:autoSpaceDE w:val="0"/>
        <w:autoSpaceDN w:val="0"/>
        <w:adjustRightInd w:val="0"/>
        <w:spacing w:before="120" w:beforeLines="50" w:after="120"/>
        <w:textAlignment w:val="baseline"/>
        <w:rPr>
          <w:rFonts w:eastAsiaTheme="minorEastAsia"/>
          <w:color w:val="000000"/>
          <w:lang w:val="en-US" w:eastAsia="zh-CN"/>
        </w:rPr>
      </w:pPr>
      <w:r>
        <w:rPr>
          <w:rFonts w:eastAsiaTheme="minorEastAsia"/>
          <w:color w:val="000000"/>
          <w:lang w:val="en-US" w:eastAsia="zh-CN"/>
        </w:rPr>
        <w:t xml:space="preserve">In the last meeting, RAN4 kicked off the discussion on </w:t>
      </w:r>
      <w:r>
        <w:rPr>
          <w:rFonts w:hint="eastAsia" w:eastAsiaTheme="minorEastAsia"/>
          <w:color w:val="000000"/>
          <w:lang w:val="en-US" w:eastAsia="zh-CN"/>
        </w:rPr>
        <w:t>case#3</w:t>
      </w:r>
      <w:r>
        <w:rPr>
          <w:rFonts w:eastAsiaTheme="minorEastAsia"/>
          <w:color w:val="000000"/>
          <w:lang w:val="en-US" w:eastAsia="zh-CN"/>
        </w:rPr>
        <w:t xml:space="preserve"> and the basic scenarios have been confirmed. The agreements can be seen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pacing w:before="0" w:beforeAutospacing="0" w:afterAutospacing="0"/>
              <w:ind w:left="0" w:right="0"/>
              <w:rPr>
                <w:rFonts w:hint="default"/>
                <w:b/>
                <w:color w:val="000000" w:themeColor="text1"/>
                <w:sz w:val="20"/>
                <w:szCs w:val="20"/>
                <w:u w:val="single"/>
                <w:lang w:eastAsia="ko-KR"/>
                <w14:textFill>
                  <w14:solidFill>
                    <w14:schemeClr w14:val="tx1"/>
                  </w14:solidFill>
                </w14:textFill>
              </w:rPr>
            </w:pPr>
            <w:r>
              <w:rPr>
                <w:rFonts w:hint="default"/>
                <w:b/>
                <w:color w:val="000000" w:themeColor="text1"/>
                <w:sz w:val="20"/>
                <w:szCs w:val="20"/>
                <w:u w:val="single"/>
                <w:lang w:eastAsia="ko-KR"/>
                <w14:textFill>
                  <w14:solidFill>
                    <w14:schemeClr w14:val="tx1"/>
                  </w14:solidFill>
                </w14:textFill>
              </w:rPr>
              <w:t>Issue 1-1-1: Cases/states to be considered for RRM relaxation and serving cell measurement offloading</w:t>
            </w:r>
          </w:p>
          <w:p>
            <w:pPr>
              <w:keepNext w:val="0"/>
              <w:keepLines w:val="0"/>
              <w:widowControl/>
              <w:suppressLineNumbers w:val="0"/>
              <w:snapToGrid w:val="0"/>
              <w:spacing w:before="0" w:beforeAutospacing="0" w:after="120" w:afterAutospacing="0"/>
              <w:ind w:left="576" w:right="0"/>
              <w:rPr>
                <w:rFonts w:hint="default"/>
                <w:color w:val="000000"/>
                <w:sz w:val="21"/>
                <w:szCs w:val="21"/>
                <w:lang w:val="en-US" w:eastAsia="zh-CN"/>
              </w:rPr>
            </w:pPr>
            <w:r>
              <w:rPr>
                <w:rFonts w:hint="default"/>
                <w:color w:val="000000"/>
                <w:sz w:val="21"/>
                <w:szCs w:val="21"/>
                <w:lang w:val="en-US" w:eastAsia="zh-CN"/>
              </w:rPr>
              <w:t>Agreement:</w:t>
            </w:r>
          </w:p>
          <w:p>
            <w:pPr>
              <w:pStyle w:val="71"/>
              <w:keepNext w:val="0"/>
              <w:keepLines w:val="0"/>
              <w:widowControl/>
              <w:numPr>
                <w:ilvl w:val="0"/>
                <w:numId w:val="7"/>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eastAsia"/>
                <w:color w:val="000000"/>
                <w:szCs w:val="21"/>
              </w:rPr>
              <w:t>S</w:t>
            </w:r>
            <w:r>
              <w:rPr>
                <w:rFonts w:hint="default"/>
                <w:color w:val="000000"/>
                <w:szCs w:val="21"/>
              </w:rPr>
              <w:t>upport case #3</w:t>
            </w:r>
          </w:p>
          <w:p>
            <w:pPr>
              <w:pStyle w:val="71"/>
              <w:keepNext w:val="0"/>
              <w:keepLines w:val="0"/>
              <w:widowControl/>
              <w:numPr>
                <w:ilvl w:val="1"/>
                <w:numId w:val="8"/>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For serving cell measurement, further discuss:</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1: Further discuss whether to combine the measurements across the two radios, i.e., MR and WUR</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2: From RAN4 requirement perspective, not consider combining the measurements across the two radios, i.e., MR and WUR</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3: It is up to UE implementation whether to combine the measurement across the two radios.</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 xml:space="preserve">Other options are not precluded.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3"/>
              <w:gridCol w:w="212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sz w:val="21"/>
                      <w:szCs w:val="21"/>
                    </w:rPr>
                    <w:t>RRM measurement case index</w:t>
                  </w:r>
                </w:p>
              </w:tc>
              <w:tc>
                <w:tcPr>
                  <w:tcW w:w="1843" w:type="dxa"/>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sz w:val="21"/>
                      <w:szCs w:val="21"/>
                    </w:rPr>
                    <w:t>MR serving cell measurement</w:t>
                  </w:r>
                </w:p>
              </w:tc>
              <w:tc>
                <w:tcPr>
                  <w:tcW w:w="2126" w:type="dxa"/>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sz w:val="21"/>
                      <w:szCs w:val="21"/>
                    </w:rPr>
                    <w:t>MR neighboring cell measurement</w:t>
                  </w:r>
                </w:p>
              </w:tc>
              <w:tc>
                <w:tcPr>
                  <w:tcW w:w="1336" w:type="dxa"/>
                </w:tcPr>
                <w:p>
                  <w:pPr>
                    <w:keepNext w:val="0"/>
                    <w:keepLines w:val="0"/>
                    <w:widowControl/>
                    <w:suppressLineNumbers w:val="0"/>
                    <w:snapToGrid w:val="0"/>
                    <w:spacing w:before="0" w:beforeAutospacing="0" w:after="120" w:afterAutospacing="0"/>
                    <w:ind w:left="0" w:right="0"/>
                    <w:jc w:val="both"/>
                    <w:rPr>
                      <w:rFonts w:hint="default" w:eastAsia="Malgun Gothic"/>
                      <w:color w:val="000000"/>
                      <w:sz w:val="21"/>
                      <w:szCs w:val="21"/>
                      <w:lang w:val="en-US" w:eastAsia="ko-KR"/>
                    </w:rPr>
                  </w:pPr>
                  <w:r>
                    <w:rPr>
                      <w:rFonts w:hint="default"/>
                      <w:sz w:val="21"/>
                      <w:szCs w:val="21"/>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shd w:val="clear" w:color="auto" w:fill="auto"/>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eastAsia="Malgun Gothic"/>
                      <w:color w:val="000000"/>
                      <w:sz w:val="21"/>
                      <w:szCs w:val="21"/>
                      <w:lang w:val="en-US" w:eastAsia="ko-KR"/>
                    </w:rPr>
                    <w:t>#3 Relaxed case b</w:t>
                  </w:r>
                </w:p>
              </w:tc>
              <w:tc>
                <w:tcPr>
                  <w:tcW w:w="1843" w:type="dxa"/>
                  <w:shd w:val="clear" w:color="auto" w:fill="auto"/>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eastAsia="Malgun Gothic"/>
                      <w:color w:val="000000"/>
                      <w:sz w:val="21"/>
                      <w:szCs w:val="21"/>
                      <w:lang w:val="en-US" w:eastAsia="ko-KR"/>
                    </w:rPr>
                    <w:t>On with relaxation measurement</w:t>
                  </w:r>
                </w:p>
              </w:tc>
              <w:tc>
                <w:tcPr>
                  <w:tcW w:w="2126" w:type="dxa"/>
                  <w:shd w:val="clear" w:color="auto" w:fill="auto"/>
                </w:tcPr>
                <w:p>
                  <w:pPr>
                    <w:keepNext w:val="0"/>
                    <w:keepLines w:val="0"/>
                    <w:widowControl/>
                    <w:suppressLineNumbers w:val="0"/>
                    <w:snapToGrid w:val="0"/>
                    <w:spacing w:before="0" w:beforeAutospacing="0" w:after="120" w:afterAutospacing="0"/>
                    <w:ind w:left="0" w:right="0"/>
                    <w:rPr>
                      <w:rFonts w:hint="default" w:eastAsia="Malgun Gothic"/>
                      <w:color w:val="000000"/>
                      <w:sz w:val="21"/>
                      <w:szCs w:val="21"/>
                      <w:lang w:val="en-US" w:eastAsia="ko-KR"/>
                    </w:rPr>
                  </w:pPr>
                  <w:r>
                    <w:rPr>
                      <w:rFonts w:hint="default" w:eastAsia="Malgun Gothic"/>
                      <w:color w:val="000000"/>
                      <w:sz w:val="21"/>
                      <w:szCs w:val="21"/>
                      <w:lang w:val="en-US" w:eastAsia="ko-KR"/>
                    </w:rPr>
                    <w:t>On with relaxation measurement</w:t>
                  </w:r>
                </w:p>
              </w:tc>
              <w:tc>
                <w:tcPr>
                  <w:tcW w:w="1336" w:type="dxa"/>
                  <w:shd w:val="clear" w:color="auto" w:fill="auto"/>
                </w:tcPr>
                <w:p>
                  <w:pPr>
                    <w:keepNext w:val="0"/>
                    <w:keepLines w:val="0"/>
                    <w:widowControl/>
                    <w:suppressLineNumbers w:val="0"/>
                    <w:snapToGrid w:val="0"/>
                    <w:spacing w:before="0" w:beforeAutospacing="0" w:after="120" w:afterAutospacing="0"/>
                    <w:ind w:left="0" w:right="0"/>
                    <w:jc w:val="both"/>
                    <w:rPr>
                      <w:rFonts w:hint="default" w:eastAsia="Malgun Gothic"/>
                      <w:color w:val="000000"/>
                      <w:sz w:val="21"/>
                      <w:szCs w:val="21"/>
                      <w:lang w:val="en-US" w:eastAsia="ko-KR"/>
                    </w:rPr>
                  </w:pPr>
                  <w:r>
                    <w:rPr>
                      <w:rFonts w:hint="default" w:eastAsia="Malgun Gothic"/>
                      <w:color w:val="000000"/>
                      <w:sz w:val="21"/>
                      <w:szCs w:val="21"/>
                      <w:lang w:val="en-US" w:eastAsia="ko-KR"/>
                    </w:rPr>
                    <w:t>ON</w:t>
                  </w:r>
                </w:p>
              </w:tc>
            </w:tr>
          </w:tbl>
          <w:p>
            <w:pPr>
              <w:pStyle w:val="71"/>
              <w:keepNext w:val="0"/>
              <w:keepLines w:val="0"/>
              <w:widowControl/>
              <w:numPr>
                <w:ilvl w:val="1"/>
                <w:numId w:val="8"/>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color w:val="000000"/>
                <w:szCs w:val="21"/>
              </w:rPr>
              <w:t>Note: In RAN4 understanding, the discussion of the related measurement criteria (i.e., whether to use the legacy or new criteria) is out of RAN4 responsibility.</w:t>
            </w:r>
          </w:p>
          <w:p>
            <w:pPr>
              <w:keepNext w:val="0"/>
              <w:keepLines w:val="0"/>
              <w:widowControl/>
              <w:suppressLineNumbers w:val="0"/>
              <w:spacing w:before="0" w:beforeAutospacing="0" w:afterAutospacing="0"/>
              <w:ind w:left="0" w:right="0"/>
              <w:rPr>
                <w:rFonts w:hint="default"/>
                <w:b/>
                <w:color w:val="000000" w:themeColor="text1"/>
                <w:sz w:val="20"/>
                <w:szCs w:val="20"/>
                <w:u w:val="single"/>
                <w:lang w:eastAsia="ko-KR"/>
                <w14:textFill>
                  <w14:solidFill>
                    <w14:schemeClr w14:val="tx1"/>
                  </w14:solidFill>
                </w14:textFill>
              </w:rPr>
            </w:pP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 xml:space="preserve">Recommendations: </w:t>
            </w: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Suggest to discuss issues related to higher priority frequency layers under 1-1-11.</w:t>
            </w: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Continue discuss case 2 and other issues.</w:t>
            </w:r>
          </w:p>
          <w:p>
            <w:pPr>
              <w:pStyle w:val="71"/>
              <w:keepNext w:val="0"/>
              <w:keepLines w:val="0"/>
              <w:widowControl/>
              <w:numPr>
                <w:ilvl w:val="2"/>
                <w:numId w:val="10"/>
              </w:numPr>
              <w:suppressLineNumbers w:val="0"/>
              <w:spacing w:before="0" w:beforeAutospacing="0" w:after="120" w:afterAutospacing="0" w:line="240" w:lineRule="auto"/>
              <w:ind w:right="0"/>
              <w:rPr>
                <w:rFonts w:hint="default" w:eastAsiaTheme="minorEastAsia"/>
                <w:color w:val="000000"/>
                <w:lang w:val="en-US" w:eastAsia="zh-CN"/>
              </w:rPr>
            </w:pPr>
          </w:p>
        </w:tc>
      </w:tr>
    </w:tbl>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In previous meetings, RAN4 has already agreed the case#1 (MR Fully offload to LR) without consideration of configured high priority frequency, that is, only LR performs the serving cell measurement and MR is OFF. In the last meeting, we also agreed that MR and LR are in ON state (MR partially offload to LR, MR+LR).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For case#1, the measurement only performed by LR, that is, the LR measurement result will decide the MR is ON or OFF.</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For case#3, the remaining issue is whether to combine the measurements across the two radios or not since MR and LR both perform the serving cell measurement, only  MR performs neighbour cell measurement.</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There are still case#2 and case#4 (measurements with high priority frequency) are not discussed and we will firstly analyze the remaining scenarios and then specify the RRM requirements for all cases including the remaining issue for case#3.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Firstly, we shall focus on the feasibility of Case#2 and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674360" cy="2226945"/>
            <wp:effectExtent l="0" t="0" r="1016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tretch>
                      <a:fillRect/>
                    </a:stretch>
                  </pic:blipFill>
                  <pic:spPr>
                    <a:xfrm>
                      <a:off x="0" y="0"/>
                      <a:ext cx="5674360" cy="222694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default" w:eastAsiaTheme="minorEastAsia"/>
          <w:color w:val="000000"/>
          <w:lang w:val="en-US" w:eastAsia="zh-CN"/>
        </w:rPr>
      </w:pPr>
      <w:r>
        <w:rPr>
          <w:rFonts w:hint="eastAsia" w:eastAsiaTheme="minorEastAsia"/>
          <w:color w:val="000000"/>
          <w:lang w:val="en-US" w:eastAsia="zh-CN"/>
        </w:rPr>
        <w:t>Figure 1 Different cases</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Based on the above figure, we find that the MR and LR is ON and both of them perform the serving cell measurement for Case#2. However, the main difference between Case#2 and Case#3 is that there is no neighbour cell measurement for Case#2. In general, Case#2 and Case#3 depends on the serving cell measurement results. If the service of the current cell is better than the threshold defined in existing spec, the UE will not do the neighbour cell measurement, however, the measurement result is below the threshold which can enter into Case#1, the UE is still in the MR+LR state (Case#2). Otherwise, the UE shall perform the neighbour cell measurement (Case#3). We deem that that is not a corner case and Case#2 is needed. However, we shall have a comprehensive understanding if we decide to study Case#2. To my understanding, whether to study Case#2 or not shall consider the following reasons:</w:t>
      </w:r>
    </w:p>
    <w:p>
      <w:pPr>
        <w:numPr>
          <w:ilvl w:val="0"/>
          <w:numId w:val="11"/>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11"/>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We know that if UE stays in MR+LR state, the scaling factor for MR measurement time period is needed. The MR measurement is more infrequent than LR measurement. And the MR measurement will cost more power. Some companies think that the accuracy of LR measurement is lower than MR measurement. However, there is no evidence can prove that and that is RAN1</w:t>
      </w:r>
      <w:r>
        <w:rPr>
          <w:rFonts w:hint="default" w:eastAsiaTheme="minorEastAsia"/>
          <w:color w:val="000000"/>
          <w:lang w:val="en-US" w:eastAsia="zh-CN"/>
        </w:rPr>
        <w:t>’</w:t>
      </w:r>
      <w:r>
        <w:rPr>
          <w:rFonts w:hint="eastAsia" w:eastAsiaTheme="minorEastAsia"/>
          <w:color w:val="000000"/>
          <w:lang w:val="en-US" w:eastAsia="zh-CN"/>
        </w:rPr>
        <w:t>s evaluation work, we shall wait for RAN1</w:t>
      </w:r>
      <w:r>
        <w:rPr>
          <w:rFonts w:hint="default" w:eastAsiaTheme="minorEastAsia"/>
          <w:color w:val="000000"/>
          <w:lang w:val="en-US" w:eastAsia="zh-CN"/>
        </w:rPr>
        <w:t>’</w:t>
      </w:r>
      <w:r>
        <w:rPr>
          <w:rFonts w:hint="eastAsia" w:eastAsiaTheme="minorEastAsia"/>
          <w:color w:val="000000"/>
          <w:lang w:val="en-US" w:eastAsia="zh-CN"/>
        </w:rPr>
        <w:t>s agreements. Also, the periodicity of LR is under discussion in RAN1 which maybe 160ms, 320ms etc, that is, LR will measure more samples than MR, the measurement results may not necessarily be inaccurate. If the accuracy of LR measurement is the key concern, we only need to consider how to keep similar accuracy between LR and MR, such as introduce the offset for LR measurement instead of studying another case. Thus, the Case#2 is not necessary to consider.</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12"/>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12"/>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5"/>
        <w:numPr>
          <w:ilvl w:val="-1"/>
          <w:numId w:val="0"/>
        </w:numPr>
        <w:spacing w:before="240" w:after="240"/>
        <w:ind w:left="-289" w:firstLine="0"/>
        <w:rPr>
          <w:rFonts w:eastAsiaTheme="minorEastAsia"/>
          <w:lang w:val="en-US" w:eastAsia="zh-CN"/>
        </w:rPr>
      </w:pPr>
      <w:r>
        <w:rPr>
          <w:rFonts w:hint="eastAsia" w:eastAsiaTheme="minorEastAsia"/>
          <w:lang w:val="en-US" w:eastAsia="zh-CN"/>
        </w:rPr>
        <w:t xml:space="preserve">2.2.1 Cases/States </w:t>
      </w:r>
      <w:r>
        <w:rPr>
          <w:rFonts w:hint="eastAsia" w:eastAsiaTheme="minorEastAsia"/>
          <w:b/>
          <w:bCs/>
          <w:lang w:val="en-US" w:eastAsia="zh-CN"/>
        </w:rPr>
        <w:t>without</w:t>
      </w:r>
      <w:r>
        <w:rPr>
          <w:rFonts w:hint="eastAsia" w:eastAsiaTheme="minorEastAsia"/>
          <w:lang w:val="en-US" w:eastAsia="zh-CN"/>
        </w:rPr>
        <w:t xml:space="preserve">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one key point that only MR can perform the neighbour cell measurement and LR only performs serving cell measurement based on RAN2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default" w:ascii="Times New Roman" w:hAnsi="Times New Roman" w:eastAsia="宋体" w:cs="Times New Roman"/>
                <w:kern w:val="2"/>
                <w:sz w:val="21"/>
                <w:szCs w:val="24"/>
                <w:lang w:val="en-US" w:eastAsia="zh-CN" w:bidi="ar"/>
              </w:rPr>
              <w:t>RAN2 understand that the RRM measurement of the neighboring cell can only be performed by MR. Can discuss again if RAN1 inform us otherwise.</w:t>
            </w:r>
          </w:p>
        </w:tc>
      </w:tr>
    </w:tbl>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2: MR and LR shall both perform serving cell measurement. Only MR performs neighbour cell measurement. </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the whole procedure based on the serving cell measurement and the entry/exit condition. To my understanding, the whole procedure can be:</w:t>
      </w:r>
    </w:p>
    <w:p>
      <w:pPr>
        <w:overflowPunct w:val="0"/>
        <w:autoSpaceDE w:val="0"/>
        <w:autoSpaceDN w:val="0"/>
        <w:adjustRightInd w:val="0"/>
        <w:spacing w:before="120" w:beforeLines="50" w:after="120"/>
        <w:jc w:val="left"/>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Fully MR state</w:t>
      </w:r>
      <w:r>
        <w:rPr>
          <w:rFonts w:hint="eastAsia" w:cs="Times New Roman"/>
          <w:color w:val="000000"/>
          <w:lang w:val="en-US" w:eastAsia="zh-CN"/>
        </w:rPr>
        <w:t xml:space="preserve"> (including the relaxation)</w:t>
      </w:r>
      <w:r>
        <w:rPr>
          <w:rFonts w:hint="eastAsia" w:ascii="Times New Roman" w:hAnsi="Times New Roman" w:eastAsia="Times New Roman" w:cs="Times New Roman"/>
          <w:color w:val="000000"/>
          <w:lang w:val="en-US" w:eastAsia="zh-CN"/>
        </w:rPr>
        <w:t xml:space="preserve"> → MR+LR → Fully LR → MR+LR → Fully MR</w:t>
      </w:r>
      <w:r>
        <w:rPr>
          <w:rFonts w:hint="eastAsia" w:cs="Times New Roman"/>
          <w:color w:val="000000"/>
          <w:lang w:val="en-US" w:eastAsia="zh-CN"/>
        </w:rPr>
        <w:t xml:space="preserve"> (including the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different states, UE will perform corresponding measurements and the related measurement requirements shall be discussed and defined.</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2: RAN4 shall specify the whole procedure based on serving cell measurement and specify the UE behaviour when it satisfies the entry/exit condition:</w:t>
      </w:r>
    </w:p>
    <w:p>
      <w:pPr>
        <w:numPr>
          <w:ilvl w:val="0"/>
          <w:numId w:val="13"/>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3"/>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i/>
          <w:iCs/>
          <w:color w:val="000000"/>
          <w:kern w:val="0"/>
          <w:sz w:val="20"/>
          <w:szCs w:val="20"/>
          <w:u w:val="single"/>
          <w:lang w:val="en-US" w:eastAsia="zh-CN" w:bidi="ar"/>
        </w:rPr>
      </w:pPr>
      <w:r>
        <w:rPr>
          <w:rFonts w:hint="eastAsia" w:cs="Times New Roman" w:eastAsiaTheme="minorEastAsia"/>
          <w:b/>
          <w:bCs/>
          <w:i/>
          <w:iCs/>
          <w:color w:val="000000"/>
          <w:kern w:val="0"/>
          <w:sz w:val="20"/>
          <w:szCs w:val="20"/>
          <w:u w:val="single"/>
          <w:lang w:val="en-US" w:eastAsia="zh-CN" w:bidi="ar"/>
        </w:rPr>
        <w:t>For Case#1 (MR fully offload to LR):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the center of current cell and the service of serving cell is the best, that is, UE MR is OFF and only LR is ON. At this time, LR will perform the serving cell measurement based on LP-SS based RSRP and RSRQ or SSS based LP-SSS-RSRP and LP-SSS-RSRQ for OFDM-based LP-WUR which has already agreed in RAN1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Autospacing="0"/>
              <w:ind w:left="360" w:right="0" w:firstLine="0"/>
              <w:rPr>
                <w:rFonts w:hint="default"/>
                <w:b/>
                <w:bCs/>
                <w:sz w:val="20"/>
                <w:szCs w:val="20"/>
                <w:lang w:eastAsia="zh-CN"/>
              </w:rPr>
            </w:pPr>
            <w:r>
              <w:rPr>
                <w:rFonts w:hint="default"/>
                <w:b/>
                <w:bCs/>
                <w:sz w:val="20"/>
                <w:szCs w:val="20"/>
                <w:highlight w:val="green"/>
                <w:lang w:eastAsia="zh-CN"/>
              </w:rPr>
              <w:t>Agreement</w:t>
            </w:r>
          </w:p>
          <w:p>
            <w:pPr>
              <w:keepNext w:val="0"/>
              <w:keepLines w:val="0"/>
              <w:widowControl/>
              <w:numPr>
                <w:ilvl w:val="-1"/>
                <w:numId w:val="0"/>
              </w:numPr>
              <w:suppressLineNumbers w:val="0"/>
              <w:spacing w:before="0" w:beforeAutospacing="0" w:afterAutospacing="0"/>
              <w:ind w:left="360" w:right="0" w:firstLine="0"/>
              <w:rPr>
                <w:rFonts w:hint="default" w:eastAsia="等线"/>
                <w:sz w:val="20"/>
                <w:szCs w:val="20"/>
                <w:lang w:eastAsia="zh-CN" w:bidi="ar"/>
              </w:rPr>
            </w:pPr>
            <w:r>
              <w:rPr>
                <w:rFonts w:hint="default"/>
                <w:sz w:val="20"/>
                <w:szCs w:val="20"/>
              </w:rPr>
              <w:t>For LP-SS based LP-RSRQ, LP-RSRP and LP-RSSI are measured within the same bandwidth.</w:t>
            </w:r>
          </w:p>
          <w:p>
            <w:pPr>
              <w:keepNext w:val="0"/>
              <w:keepLines w:val="0"/>
              <w:widowControl/>
              <w:numPr>
                <w:ilvl w:val="-1"/>
                <w:numId w:val="0"/>
              </w:numPr>
              <w:suppressLineNumbers w:val="0"/>
              <w:spacing w:before="0" w:beforeAutospacing="0" w:afterAutospacing="0"/>
              <w:ind w:left="360" w:right="0" w:firstLine="0"/>
              <w:rPr>
                <w:rFonts w:hint="default"/>
                <w:b/>
                <w:bCs/>
                <w:sz w:val="20"/>
                <w:szCs w:val="20"/>
                <w:lang w:eastAsia="zh-CN"/>
              </w:rPr>
            </w:pPr>
            <w:r>
              <w:rPr>
                <w:rFonts w:hint="default"/>
                <w:b/>
                <w:bCs/>
                <w:sz w:val="20"/>
                <w:szCs w:val="20"/>
                <w:highlight w:val="green"/>
                <w:lang w:eastAsia="zh-CN"/>
              </w:rPr>
              <w:t>Agreement</w:t>
            </w:r>
          </w:p>
          <w:p>
            <w:pPr>
              <w:keepNext w:val="0"/>
              <w:keepLines w:val="0"/>
              <w:widowControl/>
              <w:numPr>
                <w:ilvl w:val="-1"/>
                <w:numId w:val="0"/>
              </w:numPr>
              <w:suppressLineNumbers w:val="0"/>
              <w:spacing w:before="0" w:beforeAutospacing="0" w:afterAutospacing="0"/>
              <w:ind w:left="360" w:right="0" w:firstLine="0"/>
              <w:rPr>
                <w:rFonts w:hint="default"/>
                <w:sz w:val="20"/>
                <w:szCs w:val="20"/>
              </w:rPr>
            </w:pPr>
            <w:r>
              <w:rPr>
                <w:rFonts w:hint="default"/>
                <w:sz w:val="20"/>
                <w:szCs w:val="20"/>
              </w:rPr>
              <w:t>For LP-RSSI definition for LP-RSRQ, the following is agreed</w:t>
            </w:r>
          </w:p>
          <w:p>
            <w:pPr>
              <w:keepNext w:val="0"/>
              <w:keepLines w:val="0"/>
              <w:widowControl/>
              <w:numPr>
                <w:ilvl w:val="-1"/>
                <w:numId w:val="0"/>
              </w:numPr>
              <w:suppressLineNumbers w:val="0"/>
              <w:spacing w:before="0" w:beforeAutospacing="0" w:afterAutospacing="0"/>
              <w:ind w:left="360" w:right="0" w:firstLine="0"/>
              <w:rPr>
                <w:rFonts w:hint="default"/>
                <w:sz w:val="20"/>
                <w:szCs w:val="20"/>
                <w:lang w:eastAsia="zh-CN"/>
              </w:rPr>
            </w:pPr>
            <w:r>
              <w:rPr>
                <w:rFonts w:hint="default"/>
                <w:sz w:val="20"/>
                <w:szCs w:val="20"/>
                <w:lang w:eastAsia="zh-CN"/>
              </w:rPr>
              <w:t>Option 1: LP-RSSI is the linear average of total received power in ON and OFF LP-SS OOK symbols.</w:t>
            </w:r>
          </w:p>
          <w:p>
            <w:pPr>
              <w:keepNext w:val="0"/>
              <w:keepLines w:val="0"/>
              <w:widowControl/>
              <w:numPr>
                <w:ilvl w:val="-1"/>
                <w:numId w:val="0"/>
              </w:numPr>
              <w:suppressLineNumbers w:val="0"/>
              <w:spacing w:before="0" w:beforeAutospacing="0" w:afterAutospacing="0"/>
              <w:ind w:left="360" w:right="0" w:firstLine="0"/>
              <w:rPr>
                <w:rFonts w:hint="default" w:eastAsia="等线"/>
                <w:sz w:val="20"/>
                <w:szCs w:val="20"/>
                <w:lang w:eastAsia="zh-CN" w:bidi="ar"/>
              </w:rPr>
            </w:pPr>
            <w:r>
              <w:rPr>
                <w:rFonts w:hint="default"/>
                <w:sz w:val="20"/>
                <w:szCs w:val="20"/>
                <w:lang w:eastAsia="ko-KR"/>
              </w:rPr>
              <w:t>ote: Above does not constrain LP-SS sequence design for OOK</w:t>
            </w:r>
          </w:p>
          <w:p>
            <w:pPr>
              <w:keepNext w:val="0"/>
              <w:keepLines w:val="0"/>
              <w:widowControl/>
              <w:numPr>
                <w:ilvl w:val="-1"/>
                <w:numId w:val="0"/>
              </w:numPr>
              <w:suppressLineNumbers w:val="0"/>
              <w:spacing w:before="0" w:beforeAutospacing="0" w:afterAutospacing="0"/>
              <w:ind w:left="360" w:right="0" w:firstLine="0"/>
              <w:rPr>
                <w:rFonts w:hint="default" w:eastAsia="等线"/>
                <w:b/>
                <w:bCs/>
                <w:sz w:val="20"/>
                <w:szCs w:val="20"/>
                <w:lang w:eastAsia="zh-CN" w:bidi="ar"/>
              </w:rPr>
            </w:pPr>
            <w:r>
              <w:rPr>
                <w:rFonts w:hint="default" w:eastAsia="等线"/>
                <w:b/>
                <w:bCs/>
                <w:sz w:val="20"/>
                <w:szCs w:val="20"/>
                <w:highlight w:val="darkYellow"/>
                <w:lang w:eastAsia="zh-CN" w:bidi="ar"/>
              </w:rPr>
              <w:t>Working Assumption</w:t>
            </w:r>
          </w:p>
          <w:p>
            <w:pPr>
              <w:keepNext w:val="0"/>
              <w:keepLines w:val="0"/>
              <w:widowControl/>
              <w:numPr>
                <w:ilvl w:val="-1"/>
                <w:numId w:val="0"/>
              </w:numPr>
              <w:suppressLineNumbers w:val="0"/>
              <w:spacing w:before="0" w:beforeAutospacing="0" w:afterAutospacing="0"/>
              <w:ind w:left="360" w:right="0" w:firstLine="0"/>
              <w:rPr>
                <w:rFonts w:hint="default"/>
                <w:sz w:val="20"/>
                <w:szCs w:val="20"/>
              </w:rPr>
            </w:pPr>
            <w:r>
              <w:rPr>
                <w:rFonts w:hint="default"/>
                <w:sz w:val="20"/>
                <w:szCs w:val="20"/>
                <w:highlight w:val="none"/>
              </w:rPr>
              <w:t xml:space="preserve">From RAN1 perspective, </w:t>
            </w:r>
            <w:r>
              <w:rPr>
                <w:rFonts w:hint="default"/>
                <w:sz w:val="20"/>
                <w:szCs w:val="20"/>
              </w:rPr>
              <w:t>for the RRM measurement metrics based on SSS for OFDM-based LP-WUR, use the same definition of SS-RSRP and SS-RSRQ for LP-SSS-RSRP and LP-SSS-RSRQ, respectively.</w:t>
            </w:r>
          </w:p>
          <w:p>
            <w:pPr>
              <w:keepNext w:val="0"/>
              <w:keepLines w:val="0"/>
              <w:widowControl/>
              <w:numPr>
                <w:ilvl w:val="-1"/>
                <w:numId w:val="0"/>
              </w:numPr>
              <w:suppressLineNumbers w:val="0"/>
              <w:spacing w:before="0" w:beforeAutospacing="0" w:afterAutospacing="0"/>
              <w:ind w:left="360" w:right="0" w:firstLine="0"/>
              <w:rPr>
                <w:rFonts w:hint="default"/>
                <w:sz w:val="20"/>
                <w:szCs w:val="20"/>
                <w:lang w:eastAsia="zh-CN"/>
              </w:rPr>
            </w:pPr>
            <w:r>
              <w:rPr>
                <w:rFonts w:hint="eastAsia"/>
                <w:sz w:val="20"/>
                <w:szCs w:val="20"/>
                <w:lang w:eastAsia="ko-KR"/>
              </w:rPr>
              <w:t>A</w:t>
            </w:r>
            <w:r>
              <w:rPr>
                <w:rFonts w:hint="default"/>
                <w:sz w:val="20"/>
                <w:szCs w:val="20"/>
                <w:lang w:eastAsia="ko-KR"/>
              </w:rPr>
              <w:t xml:space="preserve">bove is applicable for both </w:t>
            </w:r>
            <w:r>
              <w:rPr>
                <w:rFonts w:hint="default"/>
                <w:sz w:val="20"/>
                <w:szCs w:val="20"/>
                <w:lang w:eastAsia="zh-CN"/>
              </w:rPr>
              <w:t>time-domain processing or frequency-domain processing</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360" w:right="0" w:firstLine="0"/>
              <w:jc w:val="left"/>
              <w:textAlignment w:val="auto"/>
              <w:rPr>
                <w:rFonts w:hint="eastAsia" w:ascii="Times New Roman" w:hAnsi="Times New Roman" w:cs="Times New Roman" w:eastAsiaTheme="minorEastAsia"/>
                <w:color w:val="000000"/>
                <w:kern w:val="0"/>
                <w:sz w:val="20"/>
                <w:szCs w:val="20"/>
                <w:vertAlign w:val="baseline"/>
                <w:lang w:val="en-US" w:eastAsia="zh-CN" w:bidi="ar"/>
              </w:rPr>
            </w:pPr>
            <w:r>
              <w:rPr>
                <w:rFonts w:hint="eastAsia"/>
                <w:sz w:val="20"/>
                <w:szCs w:val="20"/>
                <w:lang w:eastAsia="zh-CN"/>
              </w:rPr>
              <w:t>A</w:t>
            </w:r>
            <w:r>
              <w:rPr>
                <w:rFonts w:hint="default"/>
                <w:sz w:val="20"/>
                <w:szCs w:val="20"/>
                <w:lang w:eastAsia="zh-CN"/>
              </w:rPr>
              <w:t>bove does not imply that RAN1 will introduce LP-SSS-RSRP and LP-SSS-RSRQ in the specifications</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As for this case, UE stays in current serving cell and has good service. We find that there is no need for a neighbour cell measurement without a configured high priority frequency.</w:t>
      </w:r>
    </w:p>
    <w:p>
      <w:pPr>
        <w:overflowPunct w:val="0"/>
        <w:autoSpaceDE w:val="0"/>
        <w:autoSpaceDN w:val="0"/>
        <w:adjustRightInd w:val="0"/>
        <w:spacing w:before="120" w:beforeLines="50" w:after="120"/>
        <w:jc w:val="both"/>
        <w:textAlignment w:val="baseline"/>
        <w:rPr>
          <w:rFonts w:hint="default" w:ascii="Times New Roman" w:hAnsi="Times New Roman" w:eastAsia="宋体" w:cs="Times New Roman"/>
          <w:color w:val="000000"/>
          <w:lang w:val="en-US" w:eastAsia="zh-CN"/>
        </w:rPr>
      </w:pPr>
      <w:r>
        <w:rPr>
          <w:rFonts w:hint="eastAsia" w:ascii="Times New Roman" w:hAnsi="Times New Roman" w:eastAsia="Times New Roman" w:cs="Times New Roman"/>
          <w:color w:val="000000"/>
          <w:lang w:val="en-US" w:eastAsia="zh-CN"/>
        </w:rPr>
        <w:t>From my perspective, the LP-SS based serving cell measurement requirements shall be defined. Since the LP-SS periodicity is 320ms which has agreed in RAN4 meeting and it may also be 160ms, 640ms, 1280ms and 2560ms under RAN1</w:t>
      </w:r>
      <w:r>
        <w:rPr>
          <w:rFonts w:hint="default" w:ascii="Times New Roman" w:hAnsi="Times New Roman" w:eastAsia="Times New Roman" w:cs="Times New Roman"/>
          <w:color w:val="000000"/>
          <w:lang w:val="en-US" w:eastAsia="zh-CN"/>
        </w:rPr>
        <w:t>’</w:t>
      </w:r>
      <w:r>
        <w:rPr>
          <w:rFonts w:hint="eastAsia" w:ascii="Times New Roman" w:hAnsi="Times New Roman" w:eastAsia="Times New Roman" w:cs="Times New Roman"/>
          <w:color w:val="000000"/>
          <w:lang w:val="en-US" w:eastAsia="zh-CN"/>
        </w:rPr>
        <w:t>s discussion. In legacy, introducing SMTC is aimed at reducing the complexity of UE measurements.</w:t>
      </w:r>
      <w:r>
        <w:rPr>
          <w:rFonts w:hint="eastAsia" w:cs="Times New Roman"/>
          <w:color w:val="000000"/>
          <w:lang w:val="en-US" w:eastAsia="zh-CN"/>
        </w:rPr>
        <w:t xml:space="preserve"> </w:t>
      </w:r>
      <w:r>
        <w:rPr>
          <w:rFonts w:hint="eastAsia" w:ascii="Times New Roman" w:hAnsi="Times New Roman" w:eastAsia="Times New Roman" w:cs="Times New Roman"/>
          <w:color w:val="000000"/>
          <w:lang w:val="en-US" w:eastAsia="zh-CN"/>
        </w:rPr>
        <w:t>There is no need to introduce the time window to detect LP-SS like SMTC since LP-SS is only for serving cell measurement not for neighbour cell measurement.</w:t>
      </w:r>
      <w:r>
        <w:rPr>
          <w:rFonts w:hint="eastAsia" w:cs="Times New Roman"/>
          <w:color w:val="000000"/>
          <w:lang w:val="en-US" w:eastAsia="zh-CN"/>
        </w:rPr>
        <w:t xml:space="preserve"> However, from RAN1 perspective, for the RRM measurement metrics based on SSS for OFDM-based LP-WUR, </w:t>
      </w:r>
      <w:r>
        <w:rPr>
          <w:rFonts w:hint="default"/>
          <w:sz w:val="20"/>
          <w:szCs w:val="20"/>
        </w:rPr>
        <w:t>use the same definition of SS-RSRP and SS-RSRQ for LP-SSS-RSRP and LP-SSS-RSRQ, respectively.</w:t>
      </w:r>
      <w:r>
        <w:rPr>
          <w:rFonts w:hint="eastAsia" w:eastAsia="宋体"/>
          <w:sz w:val="20"/>
          <w:szCs w:val="20"/>
          <w:lang w:val="en-US" w:eastAsia="zh-CN"/>
        </w:rPr>
        <w:t xml:space="preserve"> Thus, the legacy RRM requirements based on SSB can be the baseline when considering defining the concrete requirements based on LP-SS.</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3: When UE camps on fully LR state, MR is OFF and only LR is ON, it means that UE is in the center area of the current cell. UE LR performs serving cell measurement and there is no neighbour cell measurement without high priority frequency.</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4: In legacy, RAN1 introduced SMTC in order to reduce the complexity of UE measurements because of neighbour cell measurement.</w:t>
      </w:r>
    </w:p>
    <w:p>
      <w:pPr>
        <w:overflowPunct w:val="0"/>
        <w:autoSpaceDE w:val="0"/>
        <w:autoSpaceDN w:val="0"/>
        <w:adjustRightInd w:val="0"/>
        <w:spacing w:before="120" w:beforeLines="50" w:after="120"/>
        <w:textAlignment w:val="baseline"/>
        <w:rPr>
          <w:rFonts w:hint="eastAsia" w:eastAsia="宋体"/>
          <w:b/>
          <w:bCs/>
          <w:lang w:val="en-US" w:eastAsia="zh-CN"/>
        </w:rPr>
      </w:pPr>
      <w:r>
        <w:rPr>
          <w:rFonts w:hint="eastAsia" w:eastAsia="宋体"/>
          <w:b/>
          <w:bCs/>
          <w:lang w:val="en-US" w:eastAsia="zh-CN"/>
        </w:rPr>
        <w:t>Proposal 3: RAN4 shall define the serving cell measurement requirements based on LP-SS. However, we deem that the time window like SMTC may not be introduced.</w:t>
      </w:r>
    </w:p>
    <w:p>
      <w:pPr>
        <w:overflowPunct w:val="0"/>
        <w:autoSpaceDE w:val="0"/>
        <w:autoSpaceDN w:val="0"/>
        <w:adjustRightInd w:val="0"/>
        <w:spacing w:before="120" w:beforeLines="50" w:after="120"/>
        <w:textAlignment w:val="baseline"/>
        <w:rPr>
          <w:rFonts w:hint="default" w:eastAsia="宋体"/>
          <w:b/>
          <w:bCs/>
          <w:lang w:val="en-US" w:eastAsia="zh-CN"/>
        </w:rPr>
      </w:pPr>
      <w:r>
        <w:rPr>
          <w:rFonts w:hint="eastAsia" w:eastAsia="宋体"/>
          <w:b/>
          <w:bCs/>
          <w:lang w:val="en-US" w:eastAsia="zh-CN"/>
        </w:rPr>
        <w:t>Proposal 4: T</w:t>
      </w:r>
      <w:r>
        <w:rPr>
          <w:rFonts w:hint="eastAsia" w:eastAsia="宋体"/>
          <w:sz w:val="20"/>
          <w:szCs w:val="20"/>
          <w:lang w:val="en-US" w:eastAsia="zh-CN"/>
        </w:rPr>
        <w:t>he legacy RRM requirements based on SSB can be the baseline when considering defining the concrete requirements based on LP-SS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r>
        <w:rPr>
          <w:rFonts w:hint="eastAsia" w:eastAsiaTheme="minorEastAsia"/>
          <w:b/>
          <w:bCs/>
          <w:i/>
          <w:iCs/>
          <w:color w:val="000000"/>
          <w:u w:val="single"/>
          <w:lang w:val="en-US" w:eastAsia="zh-CN"/>
        </w:rPr>
        <w:t>For Case#3 (MR+LR):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In this case, UE satisfies the entry condition to enter into LR coverage. UE stays in MR+LR state, that is, MR and LR is ON. </w:t>
      </w:r>
      <w:r>
        <w:rPr>
          <w:rFonts w:hint="eastAsia" w:cs="Times New Roman"/>
          <w:color w:val="000000"/>
          <w:lang w:val="en-US" w:eastAsia="zh-CN"/>
        </w:rPr>
        <w:t xml:space="preserve">We have already agreed this case without the detailed requirements. In this section, we mainly analyze the RRM requirements.  </w:t>
      </w:r>
    </w:p>
    <w:p>
      <w:pPr>
        <w:numPr>
          <w:ilvl w:val="0"/>
          <w:numId w:val="15"/>
        </w:numPr>
        <w:overflowPunct w:val="0"/>
        <w:autoSpaceDE w:val="0"/>
        <w:autoSpaceDN w:val="0"/>
        <w:adjustRightInd w:val="0"/>
        <w:spacing w:before="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Serving cell measurement (including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we find that the serving cell measurement is performed by LR and MR. Thus, we shall consider the MR measurement relaxation to reduce the power consumption. However, RAN</w:t>
      </w:r>
      <w:r>
        <w:rPr>
          <w:rFonts w:hint="eastAsia" w:cs="Times New Roman"/>
          <w:color w:val="000000"/>
          <w:lang w:val="en-US" w:eastAsia="zh-CN"/>
        </w:rPr>
        <w:t>2</w:t>
      </w:r>
      <w:r>
        <w:rPr>
          <w:rFonts w:hint="eastAsia" w:ascii="Times New Roman" w:hAnsi="Times New Roman" w:eastAsia="Times New Roman" w:cs="Times New Roman"/>
          <w:color w:val="000000"/>
          <w:lang w:val="en-US" w:eastAsia="zh-CN"/>
        </w:rPr>
        <w:t xml:space="preserve"> only defines the relaxed measurement criterion for neighbour cell not for serving cell in IDLE/INACTIVE state</w:t>
      </w:r>
      <w:r>
        <w:rPr>
          <w:rFonts w:hint="eastAsia" w:cs="Times New Roman"/>
          <w:color w:val="000000"/>
          <w:lang w:val="en-US" w:eastAsia="zh-CN"/>
        </w:rPr>
        <w:t xml:space="preserve"> in legacy</w:t>
      </w:r>
      <w:r>
        <w:rPr>
          <w:rFonts w:hint="eastAsia" w:ascii="Times New Roman" w:hAnsi="Times New Roman" w:eastAsia="Times New Roman" w:cs="Times New Roman"/>
          <w:color w:val="000000"/>
          <w:lang w:val="en-US" w:eastAsia="zh-CN"/>
        </w:rPr>
        <w:t xml:space="preserve">. Thus, RAN4 shall wait for RAN2 progress about the relaxed measurement </w:t>
      </w:r>
      <w:r>
        <w:rPr>
          <w:rFonts w:hint="eastAsia" w:cs="Times New Roman"/>
          <w:color w:val="000000"/>
          <w:lang w:val="en-US" w:eastAsia="zh-CN"/>
        </w:rPr>
        <w:t>criteria</w:t>
      </w:r>
      <w:r>
        <w:rPr>
          <w:rFonts w:hint="eastAsia" w:ascii="Times New Roman" w:hAnsi="Times New Roman" w:eastAsia="Times New Roman" w:cs="Times New Roman"/>
          <w:color w:val="000000"/>
          <w:lang w:val="en-US" w:eastAsia="zh-CN"/>
        </w:rPr>
        <w:t xml:space="preserve"> for serving cell. But RAN4 can study the mobility performance to quantify the relaxation such as scaling factor for </w:t>
      </w:r>
      <w:r>
        <w:rPr>
          <w:rFonts w:hint="eastAsia" w:cs="Times New Roman"/>
          <w:color w:val="000000"/>
          <w:lang w:val="en-US" w:eastAsia="zh-CN"/>
        </w:rPr>
        <w:t xml:space="preserve">measurement </w:t>
      </w:r>
      <w:r>
        <w:rPr>
          <w:rFonts w:hint="eastAsia" w:ascii="Times New Roman" w:hAnsi="Times New Roman" w:eastAsia="Times New Roman" w:cs="Times New Roman"/>
          <w:color w:val="000000"/>
          <w:lang w:val="en-US" w:eastAsia="zh-CN"/>
        </w:rPr>
        <w:t xml:space="preserve">time period. </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5: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6: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5: RAN4 shall wait for RAN2 to define the relaxed measurement condition for serving cell measurement if it has.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color w:val="000000"/>
          <w:lang w:val="en-US" w:eastAsia="zh-CN"/>
        </w:rPr>
      </w:pPr>
      <w:r>
        <w:rPr>
          <w:rFonts w:hint="eastAsia" w:eastAsiaTheme="minorEastAsia"/>
          <w:b/>
          <w:bCs/>
          <w:color w:val="000000"/>
          <w:highlight w:val="none"/>
          <w:lang w:val="en-US" w:eastAsia="zh-CN"/>
        </w:rPr>
        <w:t xml:space="preserve">Proposal 6: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r>
        <w:rPr>
          <w:rFonts w:hint="eastAsia" w:eastAsiaTheme="minorEastAsia"/>
          <w:color w:val="000000"/>
          <w:lang w:val="en-US" w:eastAsia="zh-CN"/>
        </w:rPr>
        <w:t xml:space="preserve"> </w:t>
      </w:r>
    </w:p>
    <w:p>
      <w:pPr>
        <w:overflowPunct w:val="0"/>
        <w:autoSpaceDE w:val="0"/>
        <w:autoSpaceDN w:val="0"/>
        <w:adjustRightInd w:val="0"/>
        <w:spacing w:before="120" w:beforeLines="50" w:after="120"/>
        <w:textAlignment w:val="baseline"/>
        <w:rPr>
          <w:rFonts w:hint="eastAsia" w:cs="Times New Roman"/>
          <w:color w:val="000000"/>
          <w:lang w:val="en-US" w:eastAsia="zh-CN"/>
        </w:rPr>
      </w:pPr>
      <w:r>
        <w:rPr>
          <w:rFonts w:hint="eastAsia" w:cs="Times New Roman"/>
          <w:color w:val="000000"/>
          <w:lang w:val="en-US" w:eastAsia="zh-CN"/>
        </w:rPr>
        <w:t>For serving cell measurement of case#3, the potential options can be seen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For serving cell measurement, further discuss:</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1: Further discuss whether to combine the measurements across the two radios, i.e., MR and WUR</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2: From RAN4 requirement perspective, not consider combining the measurements across the two radios, i.e., MR and WUR</w:t>
            </w:r>
          </w:p>
          <w:p>
            <w:pPr>
              <w:pStyle w:val="71"/>
              <w:keepNext w:val="0"/>
              <w:keepLines w:val="0"/>
              <w:widowControl/>
              <w:numPr>
                <w:ilvl w:val="2"/>
                <w:numId w:val="9"/>
              </w:numPr>
              <w:suppressLineNumbers w:val="0"/>
              <w:overflowPunct/>
              <w:autoSpaceDE/>
              <w:autoSpaceDN/>
              <w:adjustRightInd/>
              <w:snapToGrid w:val="0"/>
              <w:spacing w:before="0" w:beforeAutospacing="0" w:after="120" w:afterAutospacing="0"/>
              <w:ind w:right="0" w:firstLineChars="0"/>
              <w:textAlignment w:val="auto"/>
              <w:rPr>
                <w:rFonts w:hint="default"/>
                <w:color w:val="000000"/>
                <w:szCs w:val="21"/>
              </w:rPr>
            </w:pPr>
            <w:r>
              <w:rPr>
                <w:rFonts w:hint="default" w:eastAsia="等线"/>
                <w:color w:val="000000"/>
              </w:rPr>
              <w:t>Option 3: It is up to UE implementation whether to combine the measurement across the two radios.</w:t>
            </w:r>
          </w:p>
          <w:p>
            <w:pPr>
              <w:pStyle w:val="71"/>
              <w:keepNext w:val="0"/>
              <w:keepLines w:val="0"/>
              <w:widowControl/>
              <w:numPr>
                <w:ilvl w:val="2"/>
                <w:numId w:val="9"/>
              </w:numPr>
              <w:suppressLineNumbers w:val="0"/>
              <w:overflowPunct/>
              <w:autoSpaceDE/>
              <w:autoSpaceDN/>
              <w:adjustRightInd/>
              <w:snapToGrid w:val="0"/>
              <w:spacing w:before="120" w:beforeLines="50" w:beforeAutospacing="0" w:after="120" w:afterAutospacing="0"/>
              <w:ind w:right="0"/>
              <w:textAlignment w:val="auto"/>
              <w:rPr>
                <w:rFonts w:hint="default" w:cs="Times New Roman"/>
                <w:color w:val="000000"/>
                <w:vertAlign w:val="baseline"/>
                <w:lang w:val="en-US" w:eastAsia="zh-CN"/>
              </w:rPr>
            </w:pPr>
            <w:r>
              <w:rPr>
                <w:rFonts w:hint="default" w:eastAsia="等线"/>
                <w:color w:val="000000"/>
              </w:rPr>
              <w:t xml:space="preserve">Other options are not precluded. </w:t>
            </w:r>
          </w:p>
        </w:tc>
      </w:tr>
    </w:tbl>
    <w:p>
      <w:pPr>
        <w:overflowPunct w:val="0"/>
        <w:autoSpaceDE w:val="0"/>
        <w:autoSpaceDN w:val="0"/>
        <w:adjustRightInd w:val="0"/>
        <w:spacing w:before="120" w:beforeLines="50" w:after="120"/>
        <w:textAlignment w:val="baseline"/>
        <w:rPr>
          <w:rFonts w:hint="default" w:cs="Times New Roman"/>
          <w:color w:val="000000"/>
          <w:lang w:val="en-US" w:eastAsia="zh-CN"/>
        </w:rPr>
      </w:pPr>
      <w:r>
        <w:rPr>
          <w:rFonts w:hint="eastAsia" w:cs="Times New Roman"/>
          <w:color w:val="000000"/>
          <w:lang w:val="en-US" w:eastAsia="zh-CN"/>
        </w:rPr>
        <w:t>The following illustration can be seen:</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377055" cy="663575"/>
            <wp:effectExtent l="0" t="0" r="1206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4377055" cy="663575"/>
                    </a:xfrm>
                    <a:prstGeom prst="rect">
                      <a:avLst/>
                    </a:prstGeom>
                    <a:noFill/>
                    <a:ln w="9525">
                      <a:noFill/>
                    </a:ln>
                  </pic:spPr>
                </pic:pic>
              </a:graphicData>
            </a:graphic>
          </wp:inline>
        </w:drawing>
      </w:r>
    </w:p>
    <w:p>
      <w:pPr>
        <w:overflowPunct w:val="0"/>
        <w:autoSpaceDE w:val="0"/>
        <w:autoSpaceDN w:val="0"/>
        <w:adjustRightInd w:val="0"/>
        <w:spacing w:before="120" w:beforeLines="50" w:after="120"/>
        <w:jc w:val="center"/>
        <w:textAlignment w:val="baseline"/>
        <w:rPr>
          <w:rFonts w:hint="default" w:cs="Times New Roman"/>
          <w:color w:val="000000"/>
          <w:lang w:val="en-US" w:eastAsia="zh-CN"/>
        </w:rPr>
      </w:pPr>
      <w:r>
        <w:rPr>
          <w:rFonts w:hint="eastAsia" w:ascii="Times New Roman" w:hAnsi="Times New Roman" w:eastAsia="Times New Roman" w:cs="Times New Roman"/>
          <w:color w:val="000000"/>
          <w:kern w:val="0"/>
          <w:sz w:val="20"/>
          <w:szCs w:val="20"/>
          <w:lang w:val="en-US" w:eastAsia="zh-CN" w:bidi="ar"/>
        </w:rPr>
        <w:t xml:space="preserve">Figure </w:t>
      </w:r>
      <w:r>
        <w:rPr>
          <w:rFonts w:hint="eastAsia" w:cs="Times New Roman"/>
          <w:color w:val="000000"/>
          <w:kern w:val="0"/>
          <w:sz w:val="20"/>
          <w:szCs w:val="20"/>
          <w:lang w:val="en-US" w:eastAsia="zh-CN" w:bidi="ar"/>
        </w:rPr>
        <w:t>2</w:t>
      </w:r>
      <w:r>
        <w:rPr>
          <w:rFonts w:hint="eastAsia" w:ascii="Times New Roman" w:hAnsi="Times New Roman" w:eastAsia="Times New Roman" w:cs="Times New Roman"/>
          <w:color w:val="000000"/>
          <w:kern w:val="0"/>
          <w:sz w:val="20"/>
          <w:szCs w:val="20"/>
          <w:lang w:val="en-US" w:eastAsia="zh-CN" w:bidi="ar"/>
        </w:rPr>
        <w:t xml:space="preserve"> Measurements from MR and LR separately</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imes New Roman"/>
          <w:color w:val="000000"/>
          <w:lang w:val="en-US" w:eastAsia="zh-CN"/>
        </w:rPr>
        <w:t>As the figure shows us, LR based measurement measures 8 samples with the 320ms periodicity. MR based measurement measures 2 samples with the measurement relaxation.</w:t>
      </w:r>
      <w:r>
        <w:rPr>
          <w:rFonts w:hint="eastAsia" w:eastAsiaTheme="minorEastAsia"/>
          <w:color w:val="000000"/>
          <w:lang w:val="en-US" w:eastAsia="zh-CN"/>
        </w:rPr>
        <w:t xml:space="preserve"> We see that different receivers measure independently and the measurement results do not conflict with each other. Then, we shall consider one thing which measurement results shall be trusted or used to compare with the threshold.</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In previous meeting, RAN2 has already have some conclusions on entry/exit condition on LP-WUS monitoring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overflowPunct w:val="0"/>
              <w:autoSpaceDE w:val="0"/>
              <w:autoSpaceDN w:val="0"/>
              <w:adjustRightInd w:val="0"/>
              <w:spacing w:before="120" w:beforeAutospacing="0" w:after="120" w:afterAutospacing="0"/>
              <w:ind w:left="0" w:right="0"/>
              <w:jc w:val="both"/>
              <w:textAlignment w:val="baseline"/>
              <w:rPr>
                <w:rFonts w:hint="default" w:eastAsia="宋体"/>
                <w:sz w:val="20"/>
                <w:szCs w:val="20"/>
                <w:u w:val="single"/>
                <w:lang w:eastAsia="zh-CN"/>
              </w:rPr>
            </w:pPr>
            <w:r>
              <w:rPr>
                <w:rFonts w:hint="default" w:eastAsia="宋体"/>
                <w:sz w:val="20"/>
                <w:szCs w:val="20"/>
                <w:u w:val="single"/>
                <w:lang w:eastAsia="zh-CN"/>
              </w:rPr>
              <w:t>LP-WUS entry/exit condition</w:t>
            </w:r>
          </w:p>
          <w:p>
            <w:pPr>
              <w:keepNext w:val="0"/>
              <w:keepLines w:val="0"/>
              <w:widowControl/>
              <w:numPr>
                <w:ilvl w:val="-1"/>
                <w:numId w:val="0"/>
              </w:numPr>
              <w:suppressLineNumbers w:val="0"/>
              <w:overflowPunct w:val="0"/>
              <w:autoSpaceDE w:val="0"/>
              <w:autoSpaceDN w:val="0"/>
              <w:adjustRightInd w:val="0"/>
              <w:spacing w:before="120" w:beforeAutospacing="0" w:after="120" w:afterAutospacing="0" w:line="240" w:lineRule="auto"/>
              <w:ind w:left="0" w:right="0"/>
              <w:jc w:val="both"/>
              <w:textAlignment w:val="baseline"/>
              <w:rPr>
                <w:rFonts w:hint="eastAsia"/>
                <w:sz w:val="20"/>
                <w:szCs w:val="20"/>
                <w:lang w:val="en-US" w:eastAsia="zh-CN"/>
              </w:rPr>
            </w:pPr>
            <w:r>
              <w:rPr>
                <w:rFonts w:hint="eastAsia"/>
                <w:sz w:val="20"/>
                <w:szCs w:val="20"/>
                <w:lang w:val="en-US" w:eastAsia="zh-CN"/>
              </w:rPr>
              <w:t>RAN2#126 meeting:</w:t>
            </w:r>
          </w:p>
          <w:p>
            <w:pPr>
              <w:keepNext w:val="0"/>
              <w:keepLines w:val="0"/>
              <w:widowControl/>
              <w:numPr>
                <w:ilvl w:val="-1"/>
                <w:numId w:val="0"/>
              </w:numPr>
              <w:suppressLineNumbers w:val="0"/>
              <w:overflowPunct w:val="0"/>
              <w:autoSpaceDE w:val="0"/>
              <w:autoSpaceDN w:val="0"/>
              <w:adjustRightInd w:val="0"/>
              <w:spacing w:before="120" w:beforeAutospacing="0" w:after="120" w:afterAutospacing="0" w:line="240" w:lineRule="auto"/>
              <w:ind w:left="0" w:right="0"/>
              <w:jc w:val="both"/>
              <w:textAlignment w:val="baseline"/>
              <w:rPr>
                <w:rFonts w:hint="default"/>
                <w:sz w:val="20"/>
                <w:szCs w:val="20"/>
                <w:lang w:val="en-US" w:eastAsia="zh-CN"/>
              </w:rPr>
            </w:pPr>
            <w:r>
              <w:rPr>
                <w:rFonts w:hint="default"/>
                <w:sz w:val="20"/>
                <w:szCs w:val="20"/>
                <w:lang w:val="en-US" w:eastAsia="zh-CN"/>
              </w:rPr>
              <w:t xml:space="preserve">Baseline for entry condition definition: If the serving cell quality, e.g. RSRP, RSRQ from MR, is above threshold(s) (if configured), UE may start to monitor LP-WUS, if UE monitors LP-WUS, it may stop monitoring the legacy PO. </w:t>
            </w:r>
            <w:r>
              <w:rPr>
                <w:rFonts w:hint="default"/>
                <w:sz w:val="20"/>
                <w:szCs w:val="20"/>
                <w:highlight w:val="yellow"/>
                <w:lang w:val="en-US" w:eastAsia="zh-CN"/>
              </w:rPr>
              <w:t>FFS if any measurement from LR is needed</w:t>
            </w:r>
            <w:r>
              <w:rPr>
                <w:rFonts w:hint="default"/>
                <w:sz w:val="20"/>
                <w:szCs w:val="20"/>
                <w:lang w:val="en-US" w:eastAsia="zh-CN"/>
              </w:rPr>
              <w:t xml:space="preserve">. </w:t>
            </w:r>
          </w:p>
          <w:p>
            <w:pPr>
              <w:keepNext w:val="0"/>
              <w:keepLines w:val="0"/>
              <w:widowControl/>
              <w:numPr>
                <w:ilvl w:val="-1"/>
                <w:numId w:val="0"/>
              </w:numPr>
              <w:suppressLineNumbers w:val="0"/>
              <w:overflowPunct w:val="0"/>
              <w:autoSpaceDE w:val="0"/>
              <w:autoSpaceDN w:val="0"/>
              <w:adjustRightInd w:val="0"/>
              <w:spacing w:before="120" w:beforeAutospacing="0" w:after="120" w:afterAutospacing="0" w:line="240" w:lineRule="auto"/>
              <w:ind w:left="0" w:right="0"/>
              <w:jc w:val="both"/>
              <w:textAlignment w:val="baseline"/>
              <w:rPr>
                <w:rFonts w:hint="default"/>
                <w:sz w:val="20"/>
                <w:szCs w:val="20"/>
                <w:lang w:val="en-US" w:eastAsia="zh-CN"/>
              </w:rPr>
            </w:pPr>
            <w:r>
              <w:rPr>
                <w:rFonts w:hint="default"/>
                <w:sz w:val="20"/>
                <w:szCs w:val="20"/>
                <w:lang w:val="en-US" w:eastAsia="zh-CN"/>
              </w:rPr>
              <w:t>Baseline for exit condition definition: If the serving cell measurement result based on LR is below a threshold (if configured), UE monitors PO as in legacy and it may stop monitoring the LP-WUS.</w:t>
            </w:r>
          </w:p>
          <w:p>
            <w:pPr>
              <w:keepNext w:val="0"/>
              <w:keepLines w:val="0"/>
              <w:widowControl/>
              <w:numPr>
                <w:ilvl w:val="-1"/>
                <w:numId w:val="0"/>
              </w:numPr>
              <w:suppressLineNumbers w:val="0"/>
              <w:overflowPunct w:val="0"/>
              <w:autoSpaceDE w:val="0"/>
              <w:autoSpaceDN w:val="0"/>
              <w:adjustRightInd w:val="0"/>
              <w:spacing w:before="120" w:beforeAutospacing="0" w:after="120" w:afterAutospacing="0" w:line="240" w:lineRule="auto"/>
              <w:ind w:left="0" w:right="0"/>
              <w:jc w:val="both"/>
              <w:textAlignment w:val="baseline"/>
              <w:rPr>
                <w:rFonts w:hint="default"/>
                <w:sz w:val="20"/>
                <w:szCs w:val="20"/>
                <w:lang w:val="en-US" w:eastAsia="zh-CN"/>
              </w:rPr>
            </w:pPr>
            <w:r>
              <w:rPr>
                <w:rFonts w:hint="eastAsia"/>
                <w:sz w:val="20"/>
                <w:szCs w:val="20"/>
                <w:lang w:val="en-US" w:eastAsia="zh-CN"/>
              </w:rPr>
              <w:t>RAN2#127 meeting:</w:t>
            </w:r>
          </w:p>
          <w:p>
            <w:pPr>
              <w:keepNext w:val="0"/>
              <w:keepLines w:val="0"/>
              <w:widowControl/>
              <w:numPr>
                <w:ilvl w:val="-1"/>
                <w:numId w:val="0"/>
              </w:numPr>
              <w:suppressLineNumbers w:val="0"/>
              <w:overflowPunct w:val="0"/>
              <w:autoSpaceDE w:val="0"/>
              <w:autoSpaceDN w:val="0"/>
              <w:adjustRightInd w:val="0"/>
              <w:spacing w:before="120" w:beforeAutospacing="0" w:after="120" w:afterAutospacing="0" w:line="240" w:lineRule="auto"/>
              <w:ind w:left="0" w:right="0"/>
              <w:jc w:val="both"/>
              <w:textAlignment w:val="baseline"/>
              <w:rPr>
                <w:rFonts w:hint="default"/>
                <w:sz w:val="20"/>
                <w:szCs w:val="20"/>
                <w:lang w:val="en-US" w:eastAsia="zh-CN"/>
              </w:rPr>
            </w:pPr>
            <w:r>
              <w:rPr>
                <w:rFonts w:hint="default"/>
                <w:sz w:val="20"/>
                <w:szCs w:val="20"/>
                <w:lang w:eastAsia="zh-CN"/>
              </w:rPr>
              <w:t xml:space="preserve">Working assumption (can revisit if R1/R4 reached different conclusions): If the entry/exit conditions are configured, besides MR-based thresholds, </w:t>
            </w:r>
            <w:r>
              <w:rPr>
                <w:rFonts w:hint="default"/>
                <w:sz w:val="20"/>
                <w:szCs w:val="20"/>
                <w:highlight w:val="yellow"/>
                <w:lang w:eastAsia="zh-CN"/>
              </w:rPr>
              <w:t>LP-WUS monitoring entry condition can also include LR-based thresholds</w:t>
            </w:r>
            <w:r>
              <w:rPr>
                <w:rFonts w:hint="default"/>
                <w:sz w:val="20"/>
                <w:szCs w:val="20"/>
                <w:lang w:eastAsia="zh-CN"/>
              </w:rPr>
              <w:t>.</w:t>
            </w:r>
            <w:r>
              <w:rPr>
                <w:rFonts w:hint="eastAsia"/>
                <w:sz w:val="20"/>
                <w:szCs w:val="20"/>
                <w:lang w:val="en-US" w:eastAsia="zh-CN"/>
              </w:rPr>
              <w:t xml:space="preserve"> </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 xml:space="preserve">Based on the above table, we find that RAN2 deems that the entry condition for LP-WUS monitoring can be the only MR measurement result or MR measurement result and LR measurement result. However, the exit condition for LP-WUS monitoring can only be the LR based measurement. That is, the entry condition for LP-WUS monitoring may have two thresholds. MR based measurement can compare to MR threshold and LR based measurement can compare to LR threshold. If that, one thing shall be considered which the relationship of the MR threshold and the LR threshold, the relationship can be </w:t>
      </w:r>
      <w:r>
        <w:rPr>
          <w:rFonts w:hint="default" w:eastAsiaTheme="minorEastAsia"/>
          <w:color w:val="000000"/>
          <w:lang w:val="en-US" w:eastAsia="zh-CN"/>
        </w:rPr>
        <w:t>“</w:t>
      </w:r>
      <w:r>
        <w:rPr>
          <w:rFonts w:hint="eastAsia" w:eastAsiaTheme="minorEastAsia"/>
          <w:color w:val="000000"/>
          <w:lang w:val="en-US" w:eastAsia="zh-CN"/>
        </w:rPr>
        <w:t>AND</w:t>
      </w:r>
      <w:r>
        <w:rPr>
          <w:rFonts w:hint="default" w:eastAsiaTheme="minorEastAsia"/>
          <w:color w:val="000000"/>
          <w:lang w:val="en-US" w:eastAsia="zh-CN"/>
        </w:rPr>
        <w:t>”</w:t>
      </w:r>
      <w:r>
        <w:rPr>
          <w:rFonts w:hint="eastAsia" w:eastAsiaTheme="minorEastAsia"/>
          <w:color w:val="000000"/>
          <w:lang w:val="en-US" w:eastAsia="zh-CN"/>
        </w:rPr>
        <w:t xml:space="preserve"> or  </w:t>
      </w:r>
      <w:r>
        <w:rPr>
          <w:rFonts w:hint="default" w:eastAsiaTheme="minorEastAsia"/>
          <w:color w:val="000000"/>
          <w:lang w:val="en-US" w:eastAsia="zh-CN"/>
        </w:rPr>
        <w:t>“</w:t>
      </w:r>
      <w:r>
        <w:rPr>
          <w:rFonts w:hint="eastAsia" w:eastAsiaTheme="minorEastAsia"/>
          <w:color w:val="000000"/>
          <w:lang w:val="en-US" w:eastAsia="zh-CN"/>
        </w:rPr>
        <w:t>OR</w:t>
      </w:r>
      <w:r>
        <w:rPr>
          <w:rFonts w:hint="default" w:eastAsiaTheme="minorEastAsia"/>
          <w:color w:val="000000"/>
          <w:lang w:val="en-US" w:eastAsia="zh-CN"/>
        </w:rPr>
        <w:t>”</w:t>
      </w:r>
      <w:r>
        <w:rPr>
          <w:rFonts w:hint="eastAsia" w:eastAsiaTheme="minorEastAsia"/>
          <w:color w:val="000000"/>
          <w:lang w:val="en-US" w:eastAsia="zh-CN"/>
        </w:rPr>
        <w:t xml:space="preserve"> . RAN4 shall not consider or study the combined measurement from two receivers whatever the relationship is.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To my understanding, this interpretation implies that the LR is ON or OFF is up to UE implementation. MR measurement shall be always be used and MR performs serving cell measurements without measurement relaxation. However, the accuracy of LR measurement is not confirmed, unless one offset for LR measurement is introduced which can reach the similar accuracy as MR based measurement. Thus,</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If the MR based measurement and LR based measurement can be used and each measurement result shall satisfy each threshold, the UE can perform the LP-WUS monitoring (enter into the LR coverage).</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 xml:space="preserve">If the MR based measurement and LR based measurement can be used and only MR based measurement result satisfies corresponding threshold, the UE can perform the LP-WUS monitoring (enter into the LR coverage). </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7: RAN2 deems that the entry condition for LP-WUS monitoring can be the only MR measurement result or MR measurement result and LR measurement result. However, the exit condition for LP-WUS monitoring can only b e the LR based measurement.</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8: The above interpretation implies that the LR is ON or OFF is up to UE implementation. MR measurement shall be always be used. However, the accuracy of LR measurement is not confirmed, unless one offset for LR measurement is introduced which can reach the similar accuracy as MR based measurement.</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7: RAN4 shall not consider or study the combined measurement from two receivers for LP-WUS monitoring whatever the relationship between LR based threshold and MR based threshold is.</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 xml:space="preserve">To my understanding, the similar situation can be considered for Case#3 measurement and offloading.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the entry condition, there are two cases which from Case#5 to Case#3 and from Case#1 or Case#2 which is not confirmed to Case#3. For the first case, the ahead analysis of LP-WUS monitoring can be considered. For the second case, only LR performs serving cell measurement, and the LR based measurement can be the only criteria to enter into Case#3, and the threshold can be the legacy neighbour cell triggering.</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the exit condition, Case#3 shall enter into Case#5 or Case#1. For exit condition, the MR and LR perform the serving cell measurement together. The ahead analysis of LP-WUS monitoring shall be the baseline. If network configures two different thresholds which are for MR based measurement and LR based measurement, the two measurements can compare to the different thresholds. However, the difference between enter condition for LP-WUS monitoring and the exit condition for Case#3 is MR measurement relaxation. In Case#5, MR does not perform serving cell measurement with relaxation, however, in Case#3 the MR shall perform the serving cell measurement with relaxation. Thus, we think the LR measurement can be trusted since LR can measure more samples without relaxation compared to MR based measurement. If the companies also have concern on accuracy of LR measurement, then one offset can be considered. Thus,</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 xml:space="preserve"> If the MR based measurement and LR based measurement can be used and each measurement result shall satisfy each threshold, the UE can exit Case#3.</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 xml:space="preserve">If the MR based measurement and LR based measurement can be used and one of measurement results satisfy corresponding threshold, the UE can exit Case#3.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 xml:space="preserve">Overall, the combined measurements can not be agreed and the option 2 is fine for us.  </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9: </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the entry condition, there are two cases which from Case#5 to Case#3 and from Case#1 or Case#2 which is not confirmed to Case#3.</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the exit condition, Case#3 shall enter into Case#5 or Case#1.</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Proposal 8: </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If the MR based measurement and LR based measurement can be used and each measurement result shall satisfy each threshold, the UE can exit Case#3.</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 xml:space="preserve">If the MR based measurement and LR based measurement can be used and one of measurement results satisfy corresponding threshold, the UE can exit Case#3.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9: From RAN4 requirement perspective, not consider combining the measurements across the two radios, i.e., MR and WUR.</w:t>
      </w:r>
    </w:p>
    <w:p>
      <w:pPr>
        <w:numPr>
          <w:ilvl w:val="0"/>
          <w:numId w:val="15"/>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Neighbour cell measurement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w:t>
      </w:r>
      <w:r>
        <w:rPr>
          <w:rFonts w:hint="eastAsia" w:eastAsia="宋体" w:cs="Times New Roman"/>
          <w:color w:val="000000"/>
          <w:lang w:val="en-US" w:eastAsia="zh-CN"/>
        </w:rPr>
        <w:t xml:space="preserve"> </w:t>
      </w:r>
      <w:r>
        <w:rPr>
          <w:rFonts w:ascii="Times New Roman" w:hAnsi="Times New Roman" w:eastAsia="Times New Roman" w:cs="Times New Roman"/>
          <w:color w:val="000000"/>
          <w:lang w:val="en-US"/>
        </w:rPr>
        <w:t xml:space="preserve">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Then MR will perform the neighbour cell measurement. RAN4 shall also consider the MR neighbour cell measurement relaxation. In legacy, RAN2 defined the neighbour cell relaxation condition and RAN4 defined the relevant RRM requirements. In this case, RAN2 is discussing the related relaxed measurement condition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7"/>
              <w:keepNext w:val="0"/>
              <w:keepLines w:val="0"/>
              <w:widowControl/>
              <w:suppressLineNumbers w:val="0"/>
              <w:tabs>
                <w:tab w:val="clear" w:pos="9990"/>
              </w:tabs>
              <w:overflowPunct/>
              <w:autoSpaceDE/>
              <w:autoSpaceDN/>
              <w:adjustRightInd/>
              <w:spacing w:before="120" w:beforeAutospacing="0" w:after="0" w:afterAutospacing="0" w:line="360" w:lineRule="auto"/>
              <w:ind w:left="1259" w:right="0" w:firstLine="0"/>
              <w:jc w:val="both"/>
              <w:textAlignment w:val="auto"/>
              <w:rPr>
                <w:rFonts w:hint="default" w:eastAsiaTheme="minorEastAsia"/>
                <w:color w:val="000000"/>
                <w:sz w:val="20"/>
                <w:szCs w:val="20"/>
                <w:vertAlign w:val="baseline"/>
                <w:lang w:val="en-US" w:eastAsia="zh-CN"/>
              </w:rPr>
            </w:pPr>
            <w:r>
              <w:rPr>
                <w:rFonts w:hint="eastAsia" w:ascii="Times New Roman" w:hAnsi="Times New Roman" w:cs="Times New Roman" w:eastAsiaTheme="minorEastAsia"/>
                <w:b w:val="0"/>
                <w:color w:val="000000"/>
                <w:sz w:val="20"/>
                <w:szCs w:val="20"/>
                <w:lang w:val="en-US" w:eastAsia="zh-CN"/>
              </w:rPr>
              <w:t xml:space="preserve">RAN2 will further discuss the neighbor cell measurement relaxation criteria (if the UE is using LR to measure the serving cell), e.g., considering reuse Rel-16 criteria for ‘not at cell edge’ and ‘low mobility’. </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 the legacy condition can be reused, we deem that the legacy relaxed measurement requirements for neighbour cell shall be as baseline and RAN4 can discuss the suitable scaling factor.</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10: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11: The legacy intra-/inter-frequency and inter-RAT neighbour cell measurement requirements can be the baseline and RAN4 can study the relaxed scaling factor.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it means the service of serving cell is better and UE is near the center of the current cell. Then MR will not perform neighbour cell measurement without configured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10: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default" w:eastAsiaTheme="minorEastAsia"/>
          <w:b/>
          <w:bCs/>
          <w:i/>
          <w:iCs/>
          <w:color w:val="000000"/>
          <w:u w:val="single"/>
          <w:lang w:val="en-US" w:eastAsia="zh-CN"/>
        </w:rPr>
      </w:pPr>
      <w:r>
        <w:rPr>
          <w:rFonts w:hint="eastAsia" w:eastAsiaTheme="minorEastAsia"/>
          <w:b/>
          <w:bCs/>
          <w:i/>
          <w:iCs/>
          <w:color w:val="000000"/>
          <w:u w:val="single"/>
          <w:lang w:val="en-US" w:eastAsia="zh-CN"/>
        </w:rPr>
        <w:t xml:space="preserve"> </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ascii="Times New Roman" w:hAnsi="Times New Roman" w:eastAsia="Times New Roman" w:cs="Times New Roman"/>
          <w:color w:val="000000"/>
          <w:lang w:val="en-US" w:eastAsia="zh-CN"/>
        </w:rPr>
      </w:pPr>
      <w:r>
        <w:rPr>
          <w:rFonts w:hint="eastAsia" w:cs="Times New Roman" w:eastAsiaTheme="minorEastAsia"/>
          <w:b/>
          <w:bCs/>
          <w:i/>
          <w:iCs/>
          <w:color w:val="000000"/>
          <w:kern w:val="0"/>
          <w:sz w:val="20"/>
          <w:szCs w:val="20"/>
          <w:u w:val="single"/>
          <w:lang w:val="en-US" w:eastAsia="zh-CN" w:bidi="ar"/>
        </w:rPr>
        <w:t>For Case#5 (legacy MR state):</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fully MR state, that is, only MR is ON and LR is OFF. From UE perspective, UE is far away from the center of the current cell and UE MR will perform the serving cell measurement based on SSB. There is no doubt that the measurement results SS-RSRP and SS-RSRQ will be smaller than the threshold (</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specified in TS38.304 and TS38.133. In this way, MR will not only measure the current serving cell but the neighbour cell. For neighbour cell measurement, UE shall perform intra-frequency measurement, inter-frequency measurement and inter-RAT measurement . Thus, the MR shall be always ON in case 1.</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To my understanding, the legacy requirements shall be reused for case 1 since there is little different from legacy situation.</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fully MR state, only MR is ON and LR is OFF. MR performs serving cell measurement and also neighbour cell measurement.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Theme="minorEastAsia"/>
          <w:b/>
          <w:bCs/>
          <w:color w:val="000000"/>
          <w:lang w:val="en-US" w:eastAsia="zh-CN"/>
        </w:rPr>
      </w:pPr>
      <w:r>
        <w:rPr>
          <w:rFonts w:hint="eastAsia" w:eastAsia="宋体"/>
          <w:b/>
          <w:bCs/>
          <w:lang w:val="en-US" w:eastAsia="zh-CN"/>
        </w:rPr>
        <w:t>Proposal 12: RAN4 shall reuse the legacy cell re-selection requirements when UE stays in fully MR state.</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p>
    <w:p>
      <w:pPr>
        <w:pStyle w:val="5"/>
        <w:numPr>
          <w:ilvl w:val="-1"/>
          <w:numId w:val="0"/>
        </w:numPr>
        <w:ind w:left="-288" w:firstLine="0"/>
        <w:rPr>
          <w:rFonts w:eastAsiaTheme="minorEastAsia"/>
          <w:lang w:val="en-US" w:eastAsia="zh-CN"/>
        </w:rPr>
      </w:pPr>
      <w:r>
        <w:rPr>
          <w:rFonts w:hint="eastAsia" w:eastAsiaTheme="minorEastAsia"/>
          <w:lang w:val="en-US" w:eastAsia="zh-CN"/>
        </w:rPr>
        <w:t>2.2.2 Cases/States with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2.2.</w:t>
      </w:r>
      <w:r>
        <w:rPr>
          <w:rFonts w:hint="eastAsia" w:cs="Times New Roman"/>
          <w:color w:val="000000"/>
          <w:lang w:val="en-US" w:eastAsia="zh-CN"/>
        </w:rPr>
        <w:t>.1</w:t>
      </w:r>
      <w:r>
        <w:rPr>
          <w:rFonts w:hint="eastAsia" w:ascii="Times New Roman" w:hAnsi="Times New Roman" w:eastAsia="Times New Roman" w:cs="Times New Roman"/>
          <w:color w:val="000000"/>
          <w:lang w:val="en-US" w:eastAsia="zh-CN"/>
        </w:rPr>
        <w:t>, we just study the different cell re-selection requirements under different cases without high priority frequency, and we clarify the condition of neighbour cell measurement. 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12: The different cases can be seen as following table with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w:t>
      </w:r>
      <w:r>
        <w:rPr>
          <w:rFonts w:hint="eastAsia" w:ascii="Times New Roman" w:hAnsi="Times New Roman" w:cs="Times New Roman" w:eastAsiaTheme="minorEastAsia"/>
          <w:b/>
          <w:bCs/>
          <w:i/>
          <w:iCs/>
          <w:color w:val="000000"/>
          <w:u w:val="single"/>
          <w:lang w:val="en-US" w:eastAsia="zh-CN"/>
        </w:rPr>
        <w:t>1:</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color w:val="000000"/>
          <w:lang w:val="en-US" w:eastAsia="zh-CN"/>
        </w:rPr>
      </w:pPr>
      <w:r>
        <w:rPr>
          <w:rFonts w:hint="eastAsia" w:eastAsiaTheme="minorEastAsia"/>
          <w:color w:val="000000"/>
          <w:lang w:val="en-US" w:eastAsia="zh-CN"/>
        </w:rPr>
        <w:t>In this case, the same situation in case 1 without configured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#3</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enough. Then MR will perform the neighbour cell measurement which is similar to case 2 without configured high priority frequency. </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good enough and UE is near the center of the current cell. Then MR will perform inter-frequency measurement with high priority frequency and inter-RAT measurement with high priority frequency if high priority frequency information is provided by the serving cell.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#4</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Thigher_priority_search</w:t>
      </w:r>
      <w:r>
        <w:rPr>
          <w:rFonts w:hint="eastAsia" w:ascii="Times New Roman" w:hAnsi="Times New Roman" w:eastAsia="Times New Roman" w:cs="Times New Roman"/>
          <w:color w:val="000000"/>
          <w:lang w:val="en-US" w:eastAsia="zh-CN"/>
        </w:rPr>
        <w:t>. But only LR performs serving cell measurement.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13: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13: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3"/>
        <w:rPr>
          <w:rFonts w:eastAsiaTheme="minorEastAsia"/>
        </w:rPr>
      </w:pPr>
      <w:r>
        <w:rPr>
          <w:rFonts w:eastAsiaTheme="minorEastAsia"/>
        </w:rPr>
        <w:t>Core requirements to be specified for MR RRM relaxation</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s indicated in the latest WID, RAN4 shall specify further RRM relaxation of UE MR for both serving and neighbor cell measurements. Legacy RRM relaxation at Idle/Inactive state have been specified since R</w:t>
      </w:r>
      <w:r>
        <w:rPr>
          <w:rFonts w:hint="eastAsia" w:eastAsiaTheme="minorEastAsia"/>
          <w:color w:val="000000"/>
          <w:lang w:val="en-US" w:eastAsia="zh-CN"/>
        </w:rPr>
        <w:t>el</w:t>
      </w:r>
      <w:r>
        <w:rPr>
          <w:rFonts w:eastAsiaTheme="minorEastAsia"/>
          <w:color w:val="000000"/>
          <w:lang w:val="en-US" w:eastAsia="zh-CN"/>
        </w:rPr>
        <w:t>-16 in the WID of power saving. Here we believe similar solution can be reused for MR RRM relaxation, i.e. introduce relaxation scaling factor.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color w:val="000000"/>
                <w:sz w:val="20"/>
                <w:szCs w:val="20"/>
                <w:u w:val="single"/>
                <w:lang w:eastAsia="ko-KR"/>
              </w:rPr>
            </w:pPr>
            <w:r>
              <w:rPr>
                <w:rFonts w:hint="default"/>
                <w:b/>
                <w:color w:val="000000"/>
                <w:sz w:val="20"/>
                <w:szCs w:val="20"/>
                <w:u w:val="single"/>
                <w:lang w:eastAsia="ko-KR"/>
              </w:rPr>
              <w:t>Issue 2-3-1: MR RRM relaxation factor for serving cell/neighbour cell</w:t>
            </w:r>
          </w:p>
          <w:p>
            <w:pPr>
              <w:pStyle w:val="71"/>
              <w:keepNext w:val="0"/>
              <w:keepLines w:val="0"/>
              <w:widowControl/>
              <w:numPr>
                <w:ilvl w:val="0"/>
                <w:numId w:val="17"/>
              </w:numPr>
              <w:suppressLineNumbers w:val="0"/>
              <w:spacing w:before="0" w:beforeAutospacing="0" w:after="120" w:afterAutospacing="0" w:line="240" w:lineRule="auto"/>
              <w:ind w:left="720" w:right="0"/>
              <w:rPr>
                <w:rFonts w:hint="default" w:eastAsia="宋体"/>
                <w:color w:val="000000"/>
                <w:sz w:val="20"/>
                <w:szCs w:val="20"/>
                <w:lang w:eastAsia="zh-CN"/>
              </w:rPr>
            </w:pPr>
            <w:r>
              <w:rPr>
                <w:rFonts w:hint="default" w:eastAsia="宋体"/>
                <w:color w:val="000000"/>
                <w:sz w:val="20"/>
                <w:szCs w:val="20"/>
                <w:lang w:eastAsia="zh-CN"/>
              </w:rPr>
              <w:t xml:space="preserve">Proposals </w:t>
            </w:r>
          </w:p>
          <w:p>
            <w:pPr>
              <w:pStyle w:val="71"/>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P1: Relaxation factors within the range from 8 to 16 as the starting point for the relaxation factor for the MR RRM relaxation (vivo)</w:t>
            </w:r>
          </w:p>
          <w:p>
            <w:pPr>
              <w:pStyle w:val="71"/>
              <w:keepNext w:val="0"/>
              <w:keepLines w:val="0"/>
              <w:widowControl/>
              <w:numPr>
                <w:ilvl w:val="2"/>
                <w:numId w:val="17"/>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P2-1: Equal or larger than 8 (CMCC)</w:t>
            </w:r>
          </w:p>
          <w:p>
            <w:pPr>
              <w:pStyle w:val="71"/>
              <w:keepNext w:val="0"/>
              <w:keepLines w:val="0"/>
              <w:widowControl/>
              <w:numPr>
                <w:ilvl w:val="2"/>
                <w:numId w:val="17"/>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P2-2: &gt;=16 (Huawei)</w:t>
            </w:r>
          </w:p>
          <w:p>
            <w:pPr>
              <w:pStyle w:val="71"/>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P2: RAN4 should consider relaxation on higher priority frequency layer search requirements based on “conditions” defined by RAN2. (vivo)</w:t>
            </w:r>
          </w:p>
          <w:p>
            <w:pPr>
              <w:pStyle w:val="71"/>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Cs w:val="24"/>
                <w:lang w:eastAsia="zh-CN"/>
              </w:rPr>
            </w:pPr>
            <w:r>
              <w:rPr>
                <w:rFonts w:hint="default" w:eastAsia="宋体"/>
                <w:color w:val="000000"/>
                <w:sz w:val="20"/>
                <w:szCs w:val="20"/>
                <w:lang w:eastAsia="zh-CN"/>
              </w:rPr>
              <w:t xml:space="preserve">P3: </w:t>
            </w:r>
            <w:r>
              <w:rPr>
                <w:rFonts w:hint="default"/>
                <w:bCs/>
                <w:sz w:val="20"/>
                <w:szCs w:val="20"/>
                <w:lang w:eastAsia="zh-CN"/>
              </w:rPr>
              <w:t>Neighbour cell evaluation can be discussed after further input from RAN2 (Samsung)</w:t>
            </w:r>
          </w:p>
        </w:tc>
      </w:tr>
    </w:tbl>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Based on the TR 38.869, there are two kinds of LP-WUS monitoring which are RRM with duty-cycle LP-WUS monitoring and RRM with continues LP-WUS monitoring. The power saving gain can be seen as the following table:</w:t>
      </w:r>
    </w:p>
    <w:p>
      <w:pPr>
        <w:overflowPunct w:val="0"/>
        <w:autoSpaceDE w:val="0"/>
        <w:autoSpaceDN w:val="0"/>
        <w:adjustRightInd w:val="0"/>
        <w:spacing w:after="0" w:line="360" w:lineRule="auto"/>
        <w:jc w:val="center"/>
        <w:textAlignment w:val="baseline"/>
        <w:rPr>
          <w:rFonts w:eastAsiaTheme="minorEastAsia"/>
          <w:color w:val="000000"/>
          <w:lang w:val="en-US" w:eastAsia="zh-CN"/>
        </w:rPr>
      </w:pPr>
      <w:r>
        <w:rPr>
          <w:rFonts w:eastAsiaTheme="minorEastAsia"/>
          <w:color w:val="000000"/>
          <w:lang w:val="en-US" w:eastAsia="zh-CN"/>
        </w:rPr>
        <w:t>Table1 Power saving gain based on TR38.869</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Borders>
              <w:tl2br w:val="nil"/>
            </w:tcBorders>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duty-cycle LP-WUS</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continues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N</w:t>
            </w:r>
            <w:r>
              <w:rPr>
                <w:rFonts w:hint="default" w:eastAsiaTheme="minorEastAsia"/>
                <w:color w:val="000000"/>
                <w:sz w:val="20"/>
                <w:szCs w:val="20"/>
                <w:lang w:val="en-US" w:eastAsia="zh-CN"/>
              </w:rPr>
              <w:t>o MR RRM relaxed</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-211%</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&lt; 8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8</w:t>
            </w:r>
            <w:r>
              <w:rPr>
                <w:rFonts w:hint="default" w:eastAsiaTheme="minorEastAsia"/>
                <w:color w:val="000000"/>
                <w:sz w:val="20"/>
                <w:szCs w:val="20"/>
                <w:lang w:val="en-US" w:eastAsia="zh-CN"/>
              </w:rPr>
              <w:t xml:space="preserve"> times&lt;=MR relaxed&lt;=16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&gt; 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offload RRM to LR</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83%</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74%</w:t>
            </w:r>
          </w:p>
        </w:tc>
      </w:tr>
    </w:tbl>
    <w:p>
      <w:pPr>
        <w:overflowPunct w:val="0"/>
        <w:autoSpaceDE w:val="0"/>
        <w:autoSpaceDN w:val="0"/>
        <w:adjustRightInd w:val="0"/>
        <w:spacing w:before="120" w:after="120"/>
        <w:jc w:val="both"/>
        <w:textAlignment w:val="baseline"/>
        <w:rPr>
          <w:rFonts w:eastAsiaTheme="minorEastAsia"/>
          <w:color w:val="000000"/>
          <w:lang w:val="en-US" w:eastAsia="zh-CN"/>
        </w:rPr>
      </w:pPr>
      <w:r>
        <w:rPr>
          <w:rFonts w:eastAsiaTheme="minorEastAsia"/>
          <w:color w:val="000000"/>
          <w:lang w:val="en-US" w:eastAsia="zh-CN"/>
        </w:rPr>
        <w:t>For scenario 1 (No MR RRM relaxed), we find no power saving gain if no MR RRM relaxed. For scenario 3 (MR offload RRM to LR), we can infer that the propagation condition is the best and the MR will stop any RRM measurement and the power saving gain is the best during the whole table. For scenario 2, there are 3 cases can be seen, the different relaxation factors have the different power saving gain and the larger relaxation factors the larger power saving gain.</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The above table shows us if the factor is less than 8 times the power saving gain is average 4%. However, if the relaxation factor is equal or larger than 8, the power saving gain has a sharp increase whatever with duty-cycle or continues LP-WUS. Thus, from my perspective, the factor within the range from 8 to 16 times can be the starting point and baseline since the power saving gain in that range is close to half the gain.</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14</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14</w:t>
      </w:r>
      <w:r>
        <w:rPr>
          <w:rFonts w:eastAsiaTheme="minorEastAsia"/>
          <w:b/>
          <w:color w:val="000000"/>
          <w:lang w:val="en-US" w:eastAsia="zh-CN"/>
        </w:rPr>
        <w:t>: Relaxation factors within the range from 8 to 16 as the starting point for the relaxation factor for the MR RRM relaxation.</w:t>
      </w:r>
    </w:p>
    <w:p>
      <w:pPr>
        <w:pStyle w:val="3"/>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rPr>
          <w:rFonts w:eastAsiaTheme="minorEastAsia"/>
          <w:color w:val="000000"/>
          <w:lang w:val="en-US" w:eastAsia="zh-CN"/>
        </w:rPr>
      </w:pPr>
      <w:r>
        <w:rPr>
          <w:rFonts w:eastAsiaTheme="minorEastAsia"/>
          <w:color w:val="000000"/>
          <w:lang w:val="en-US" w:eastAsia="zh-CN"/>
        </w:rPr>
        <w:t>It is obviously the CONNECTED state is not in the scope of the WID.</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15</w:t>
      </w:r>
      <w:r>
        <w:rPr>
          <w:rFonts w:eastAsiaTheme="minorEastAsia"/>
          <w:b/>
          <w:color w:val="000000"/>
          <w:lang w:val="en-US" w:eastAsia="zh-CN"/>
        </w:rPr>
        <w:t>: RAN4 shall not define the measurement requirements at CONNECTED state.</w:t>
      </w:r>
    </w:p>
    <w:p>
      <w:pPr>
        <w:pStyle w:val="3"/>
        <w:rPr>
          <w:rFonts w:eastAsiaTheme="minorEastAsia"/>
        </w:rPr>
      </w:pPr>
      <w:r>
        <w:rPr>
          <w:rFonts w:eastAsiaTheme="minorEastAsia"/>
        </w:rPr>
        <w:t>LP-WU</w:t>
      </w:r>
      <w:r>
        <w:rPr>
          <w:rFonts w:hint="eastAsia" w:eastAsiaTheme="minorEastAsia"/>
          <w:lang w:val="en-US" w:eastAsia="zh-CN"/>
        </w:rPr>
        <w:t>S</w:t>
      </w:r>
      <w:r>
        <w:rPr>
          <w:rFonts w:eastAsiaTheme="minorEastAsia"/>
        </w:rPr>
        <w:t xml:space="preserve"> </w:t>
      </w:r>
      <w:r>
        <w:rPr>
          <w:rFonts w:hint="eastAsia" w:eastAsiaTheme="minorEastAsia"/>
          <w:lang w:val="en-US" w:eastAsia="zh-CN"/>
        </w:rPr>
        <w:t>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 xml:space="preserve">In order to reduce the power consumption, the LP-WUR has been introduced. </w:t>
      </w:r>
      <w:r>
        <w:rPr>
          <w:rFonts w:hint="eastAsia" w:eastAsiaTheme="minorEastAsia"/>
          <w:color w:val="000000"/>
          <w:lang w:val="en-US" w:eastAsia="zh-CN"/>
        </w:rPr>
        <w:t>Acc</w:t>
      </w:r>
      <w:r>
        <w:rPr>
          <w:rFonts w:eastAsiaTheme="minorEastAsia"/>
          <w:color w:val="000000"/>
          <w:lang w:val="en-US" w:eastAsia="zh-CN"/>
        </w:rPr>
        <w:t>ording to WI, “Specify procedure and configuration design for LP-WUS indicating paging monitoring triggered by LP-WUS, including at least configuration, sub-grouping and entry/exit condition for LP-WUS monitoring” involves RAN4. When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(Low Power Wake-Up Signal).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PO (paging occasion),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13970" b="0"/>
            <wp:docPr id="6" name="图片 6"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69\AppData\Local\Microsoft\Windows\INetCache\Content.MSO\D91F5581.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 xml:space="preserve">Figure </w:t>
      </w:r>
      <w:r>
        <w:rPr>
          <w:rFonts w:hint="eastAsia" w:eastAsiaTheme="minorEastAsia"/>
          <w:color w:val="000000"/>
          <w:sz w:val="18"/>
          <w:szCs w:val="18"/>
          <w:lang w:val="en-US" w:eastAsia="zh-CN"/>
        </w:rPr>
        <w:t>3</w:t>
      </w:r>
      <w:r>
        <w:rPr>
          <w:rFonts w:eastAsiaTheme="minorEastAsia"/>
          <w:color w:val="000000"/>
          <w:sz w:val="18"/>
          <w:szCs w:val="18"/>
          <w:lang w:val="en-US" w:eastAsia="zh-CN"/>
        </w:rPr>
        <w:t xml:space="preserve"> UE behavior upon detecting LP-WUS with paging indication in IDLE/INACTIVE state</w:t>
      </w:r>
    </w:p>
    <w:p>
      <w:pPr>
        <w:overflowPunct w:val="0"/>
        <w:autoSpaceDE w:val="0"/>
        <w:autoSpaceDN w:val="0"/>
        <w:adjustRightInd w:val="0"/>
        <w:spacing w:after="120"/>
        <w:jc w:val="left"/>
        <w:textAlignment w:val="baseline"/>
        <w:rPr>
          <w:rFonts w:eastAsiaTheme="minorEastAsia"/>
          <w:color w:val="000000"/>
          <w:lang w:val="en-US" w:eastAsia="zh-CN"/>
        </w:rPr>
      </w:pPr>
      <w:r>
        <w:rPr>
          <w:rFonts w:eastAsiaTheme="minorEastAsia"/>
          <w:color w:val="000000"/>
          <w:lang w:val="en-US" w:eastAsia="zh-CN"/>
        </w:rPr>
        <w:t>RAN1 made the following working assumption regarding entry/exit conditions for LP-WUS monitoring: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sz w:val="20"/>
                <w:szCs w:val="20"/>
                <w:highlight w:val="green"/>
                <w:lang w:val="en-US" w:eastAsia="zh-CN"/>
              </w:rPr>
            </w:pPr>
            <w:r>
              <w:rPr>
                <w:rFonts w:hint="default"/>
                <w:b/>
                <w:bCs/>
                <w:sz w:val="20"/>
                <w:szCs w:val="20"/>
                <w:highlight w:val="green"/>
              </w:rPr>
              <w:t>Agreement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LP-WUS occasions (LOs) are defined for LP-WUS monitoring.</w:t>
            </w:r>
          </w:p>
          <w:p>
            <w:pPr>
              <w:keepNext w:val="0"/>
              <w:keepLines w:val="0"/>
              <w:widowControl/>
              <w:numPr>
                <w:ilvl w:val="0"/>
                <w:numId w:val="18"/>
              </w:numPr>
              <w:suppressLineNumbers w:val="0"/>
              <w:spacing w:before="0" w:beforeAutospacing="0" w:after="0" w:afterAutospacing="0" w:line="256" w:lineRule="auto"/>
              <w:ind w:right="0"/>
              <w:rPr>
                <w:rFonts w:hint="default"/>
                <w:sz w:val="20"/>
                <w:szCs w:val="20"/>
              </w:rPr>
            </w:pPr>
            <w:r>
              <w:rPr>
                <w:rFonts w:hint="default"/>
                <w:sz w:val="20"/>
                <w:szCs w:val="20"/>
              </w:rPr>
              <w:t xml:space="preserve">Each LO has one or more LP-WUS monitoring occasions (MOs), where UE </w:t>
            </w:r>
            <w:r>
              <w:rPr>
                <w:rFonts w:hint="default"/>
                <w:color w:val="FF0000"/>
                <w:sz w:val="20"/>
                <w:szCs w:val="20"/>
                <w:highlight w:val="none"/>
              </w:rPr>
              <w:t>can</w:t>
            </w:r>
            <w:r>
              <w:rPr>
                <w:rFonts w:hint="default"/>
                <w:color w:val="FF0000"/>
                <w:sz w:val="20"/>
                <w:szCs w:val="20"/>
              </w:rPr>
              <w:t xml:space="preserve"> </w:t>
            </w:r>
            <w:r>
              <w:rPr>
                <w:rFonts w:hint="default"/>
                <w:sz w:val="20"/>
                <w:szCs w:val="20"/>
              </w:rPr>
              <w:t>monitor</w:t>
            </w:r>
            <w:r>
              <w:rPr>
                <w:rFonts w:hint="default"/>
                <w:strike/>
                <w:color w:val="FF0000"/>
                <w:sz w:val="20"/>
                <w:szCs w:val="20"/>
              </w:rPr>
              <w:t>s</w:t>
            </w:r>
            <w:r>
              <w:rPr>
                <w:rFonts w:hint="default"/>
                <w:sz w:val="20"/>
                <w:szCs w:val="20"/>
              </w:rPr>
              <w:t xml:space="preserve"> for LP-WUS transmission in each of the LP-WUS MOs.</w:t>
            </w:r>
          </w:p>
          <w:p>
            <w:pPr>
              <w:keepNext w:val="0"/>
              <w:keepLines w:val="0"/>
              <w:widowControl/>
              <w:numPr>
                <w:ilvl w:val="1"/>
                <w:numId w:val="18"/>
              </w:numPr>
              <w:suppressLineNumbers w:val="0"/>
              <w:spacing w:before="0" w:beforeAutospacing="0" w:after="0" w:afterAutospacing="0" w:line="256" w:lineRule="auto"/>
              <w:ind w:right="0"/>
              <w:rPr>
                <w:rFonts w:hint="default"/>
                <w:sz w:val="20"/>
                <w:szCs w:val="20"/>
              </w:rPr>
            </w:pPr>
            <w:r>
              <w:rPr>
                <w:rFonts w:hint="default"/>
                <w:sz w:val="20"/>
                <w:szCs w:val="20"/>
              </w:rPr>
              <w:t>Different LP-WUS MOs may correspond to different beams in multi-beam operation</w:t>
            </w:r>
            <w:r>
              <w:rPr>
                <w:rFonts w:hint="eastAsia" w:eastAsia="宋体"/>
                <w:sz w:val="20"/>
                <w:szCs w:val="20"/>
              </w:rPr>
              <w:t xml:space="preserve"> </w:t>
            </w:r>
          </w:p>
          <w:p>
            <w:pPr>
              <w:keepNext w:val="0"/>
              <w:keepLines w:val="0"/>
              <w:widowControl/>
              <w:numPr>
                <w:ilvl w:val="1"/>
                <w:numId w:val="18"/>
              </w:numPr>
              <w:suppressLineNumbers w:val="0"/>
              <w:spacing w:before="0" w:beforeAutospacing="0" w:after="0" w:afterAutospacing="0" w:line="256" w:lineRule="auto"/>
              <w:ind w:right="0"/>
              <w:rPr>
                <w:rFonts w:hint="default"/>
                <w:sz w:val="20"/>
                <w:szCs w:val="20"/>
              </w:rPr>
            </w:pPr>
            <w:r>
              <w:rPr>
                <w:rFonts w:hint="default"/>
                <w:strike/>
                <w:color w:val="FF0000"/>
                <w:sz w:val="20"/>
                <w:szCs w:val="20"/>
              </w:rPr>
              <w:t xml:space="preserve">It is not precluded that </w:t>
            </w:r>
            <w:r>
              <w:rPr>
                <w:rFonts w:hint="default"/>
                <w:color w:val="FF0000"/>
                <w:sz w:val="20"/>
                <w:szCs w:val="20"/>
              </w:rPr>
              <w:t xml:space="preserve">FFS whether or not </w:t>
            </w:r>
            <w:r>
              <w:rPr>
                <w:rFonts w:hint="default"/>
                <w:sz w:val="20"/>
                <w:szCs w:val="20"/>
              </w:rPr>
              <w:t>each LO is defined as a time window that covers the corresponding LP-WUS MOs</w:t>
            </w:r>
          </w:p>
          <w:p>
            <w:pPr>
              <w:keepNext w:val="0"/>
              <w:keepLines w:val="0"/>
              <w:widowControl/>
              <w:numPr>
                <w:ilvl w:val="1"/>
                <w:numId w:val="18"/>
              </w:numPr>
              <w:suppressLineNumbers w:val="0"/>
              <w:spacing w:before="0" w:beforeAutospacing="0" w:after="0" w:afterAutospacing="0" w:line="256" w:lineRule="auto"/>
              <w:ind w:right="0"/>
              <w:rPr>
                <w:rFonts w:hint="default"/>
                <w:sz w:val="20"/>
                <w:szCs w:val="20"/>
              </w:rPr>
            </w:pPr>
            <w:r>
              <w:rPr>
                <w:rFonts w:hint="default"/>
                <w:sz w:val="20"/>
                <w:szCs w:val="20"/>
              </w:rPr>
              <w:t>FFS details</w:t>
            </w:r>
          </w:p>
          <w:p>
            <w:pPr>
              <w:keepNext w:val="0"/>
              <w:keepLines w:val="0"/>
              <w:widowControl/>
              <w:numPr>
                <w:ilvl w:val="0"/>
                <w:numId w:val="18"/>
              </w:numPr>
              <w:suppressLineNumbers w:val="0"/>
              <w:spacing w:before="0" w:beforeAutospacing="0" w:after="0" w:afterAutospacing="0" w:line="256" w:lineRule="auto"/>
              <w:ind w:right="0"/>
              <w:rPr>
                <w:rFonts w:hint="default"/>
                <w:color w:val="FF0000"/>
                <w:sz w:val="20"/>
                <w:szCs w:val="20"/>
              </w:rPr>
            </w:pPr>
            <w:r>
              <w:rPr>
                <w:rFonts w:hint="default"/>
                <w:color w:val="FF0000"/>
                <w:sz w:val="20"/>
                <w:szCs w:val="20"/>
              </w:rPr>
              <w:t>It is at least supported that a UE monitors LOs with a configured periodicity.</w:t>
            </w:r>
          </w:p>
          <w:p>
            <w:pPr>
              <w:keepNext w:val="0"/>
              <w:keepLines w:val="0"/>
              <w:widowControl/>
              <w:suppressLineNumbers w:val="0"/>
              <w:spacing w:before="0" w:beforeAutospacing="0" w:afterAutospacing="0"/>
              <w:ind w:left="0" w:right="0"/>
              <w:rPr>
                <w:rFonts w:hint="default"/>
                <w:b/>
                <w:bCs/>
                <w:sz w:val="20"/>
                <w:szCs w:val="20"/>
                <w:highlight w:val="green"/>
                <w:lang w:val="en-US" w:eastAsia="zh-CN"/>
              </w:rPr>
            </w:pPr>
            <w:r>
              <w:rPr>
                <w:rFonts w:hint="default"/>
                <w:b/>
                <w:bCs/>
                <w:sz w:val="20"/>
                <w:szCs w:val="20"/>
                <w:highlight w:val="green"/>
              </w:rPr>
              <w:t>Agreement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It is supported that the UE monitors the legacy PO after receiving LP-WUS indicating wake-up.</w:t>
            </w:r>
          </w:p>
          <w:p>
            <w:pPr>
              <w:keepNext w:val="0"/>
              <w:keepLines w:val="0"/>
              <w:widowControl/>
              <w:suppressLineNumbers w:val="0"/>
              <w:spacing w:before="0" w:beforeAutospacing="0" w:afterAutospacing="0"/>
              <w:ind w:left="0" w:right="0"/>
              <w:rPr>
                <w:rFonts w:hint="default" w:eastAsia="Malgun Gothic"/>
                <w:b/>
                <w:bCs/>
                <w:sz w:val="20"/>
                <w:szCs w:val="20"/>
                <w:highlight w:val="darkYellow"/>
                <w:lang w:val="en-US" w:eastAsia="zh-CN"/>
              </w:rPr>
            </w:pPr>
            <w:r>
              <w:rPr>
                <w:rFonts w:hint="default" w:eastAsia="Malgun Gothic"/>
                <w:b/>
                <w:bCs/>
                <w:sz w:val="20"/>
                <w:szCs w:val="20"/>
                <w:highlight w:val="darkYellow"/>
              </w:rPr>
              <w:t>Working Assumption</w:t>
            </w:r>
          </w:p>
          <w:p>
            <w:pPr>
              <w:keepNext w:val="0"/>
              <w:keepLines w:val="0"/>
              <w:widowControl/>
              <w:suppressLineNumbers w:val="0"/>
              <w:spacing w:before="0" w:beforeAutospacing="0" w:afterAutospacing="0"/>
              <w:ind w:left="0" w:right="0"/>
              <w:rPr>
                <w:rFonts w:hint="default" w:eastAsia="Malgun Gothic"/>
                <w:sz w:val="20"/>
                <w:szCs w:val="20"/>
              </w:rPr>
            </w:pPr>
            <w:r>
              <w:rPr>
                <w:rFonts w:hint="default" w:eastAsia="Malgun Gothic"/>
                <w:sz w:val="20"/>
                <w:szCs w:val="20"/>
              </w:rPr>
              <w:t>From RAN1 perspective, for the entry/exit conditions for LP-WUS monitoring in IDLE/inactive mode,</w:t>
            </w:r>
          </w:p>
          <w:p>
            <w:pPr>
              <w:keepNext w:val="0"/>
              <w:keepLines w:val="0"/>
              <w:widowControl/>
              <w:numPr>
                <w:ilvl w:val="0"/>
                <w:numId w:val="19"/>
              </w:numPr>
              <w:suppressLineNumbers w:val="0"/>
              <w:spacing w:before="0" w:beforeAutospacing="0" w:after="0" w:afterAutospacing="0"/>
              <w:ind w:right="0"/>
              <w:rPr>
                <w:rFonts w:hint="default" w:eastAsia="Batang"/>
                <w:sz w:val="20"/>
                <w:szCs w:val="20"/>
              </w:rPr>
            </w:pPr>
            <w:r>
              <w:rPr>
                <w:rFonts w:hint="default"/>
                <w:sz w:val="20"/>
                <w:szCs w:val="20"/>
              </w:rPr>
              <w:t>The UE may start LP-WUS monitoring if</w:t>
            </w:r>
          </w:p>
          <w:p>
            <w:pPr>
              <w:keepNext w:val="0"/>
              <w:keepLines w:val="0"/>
              <w:widowControl/>
              <w:numPr>
                <w:ilvl w:val="1"/>
                <w:numId w:val="19"/>
              </w:numPr>
              <w:suppressLineNumbers w:val="0"/>
              <w:spacing w:before="0" w:beforeAutospacing="0" w:after="0" w:afterAutospacing="0"/>
              <w:ind w:right="0"/>
              <w:rPr>
                <w:rFonts w:hint="default"/>
                <w:sz w:val="20"/>
                <w:szCs w:val="20"/>
              </w:rPr>
            </w:pPr>
            <w:r>
              <w:rPr>
                <w:rFonts w:hint="default"/>
                <w:sz w:val="20"/>
                <w:szCs w:val="20"/>
              </w:rPr>
              <w:t>the serving cell measurement performed by the MR is above entry threshold</w:t>
            </w:r>
            <w:r>
              <w:rPr>
                <w:rFonts w:hint="default"/>
                <w:color w:val="FF0000"/>
                <w:sz w:val="20"/>
                <w:szCs w:val="20"/>
              </w:rPr>
              <w:t xml:space="preserve">(s), if </w:t>
            </w:r>
            <w:r>
              <w:rPr>
                <w:rFonts w:hint="default"/>
                <w:sz w:val="20"/>
                <w:szCs w:val="20"/>
              </w:rPr>
              <w:t>configured by the gNB</w:t>
            </w:r>
            <w:r>
              <w:rPr>
                <w:rFonts w:hint="default"/>
                <w:strike/>
                <w:color w:val="FF0000"/>
                <w:sz w:val="20"/>
                <w:szCs w:val="20"/>
              </w:rPr>
              <w:t xml:space="preserve">, and/or  </w:t>
            </w:r>
          </w:p>
          <w:p>
            <w:pPr>
              <w:keepNext w:val="0"/>
              <w:keepLines w:val="0"/>
              <w:widowControl/>
              <w:numPr>
                <w:ilvl w:val="1"/>
                <w:numId w:val="19"/>
              </w:numPr>
              <w:suppressLineNumbers w:val="0"/>
              <w:spacing w:before="0" w:beforeAutospacing="0" w:after="0" w:afterAutospacing="0"/>
              <w:ind w:right="0"/>
              <w:rPr>
                <w:rFonts w:hint="default"/>
                <w:sz w:val="20"/>
                <w:szCs w:val="20"/>
              </w:rPr>
            </w:pPr>
            <w:r>
              <w:rPr>
                <w:rFonts w:hint="default"/>
                <w:sz w:val="20"/>
                <w:szCs w:val="20"/>
              </w:rPr>
              <w:t>FFS other conditions</w:t>
            </w:r>
            <w:r>
              <w:rPr>
                <w:rFonts w:hint="default"/>
                <w:color w:val="FF0000"/>
                <w:sz w:val="20"/>
                <w:szCs w:val="20"/>
              </w:rPr>
              <w:t>, and if any, whether all or one or some of the conditions need to be satisfied</w:t>
            </w:r>
          </w:p>
          <w:p>
            <w:pPr>
              <w:keepNext w:val="0"/>
              <w:keepLines w:val="0"/>
              <w:widowControl/>
              <w:numPr>
                <w:ilvl w:val="0"/>
                <w:numId w:val="19"/>
              </w:numPr>
              <w:suppressLineNumbers w:val="0"/>
              <w:spacing w:before="0" w:beforeAutospacing="0" w:after="0" w:afterAutospacing="0"/>
              <w:ind w:right="0"/>
              <w:rPr>
                <w:rFonts w:hint="default" w:eastAsia="等线"/>
                <w:sz w:val="20"/>
                <w:szCs w:val="20"/>
                <w:lang w:eastAsia="zh-CN"/>
              </w:rPr>
            </w:pPr>
            <w:r>
              <w:rPr>
                <w:rFonts w:hint="default"/>
                <w:sz w:val="20"/>
                <w:szCs w:val="20"/>
              </w:rPr>
              <w:t xml:space="preserve">If UE starts LP-WUS monitoring, it </w:t>
            </w:r>
            <w:r>
              <w:rPr>
                <w:rFonts w:hint="default"/>
                <w:sz w:val="20"/>
                <w:szCs w:val="20"/>
                <w:highlight w:val="none"/>
              </w:rPr>
              <w:t>may</w:t>
            </w:r>
            <w:r>
              <w:rPr>
                <w:rFonts w:hint="default"/>
                <w:sz w:val="20"/>
                <w:szCs w:val="20"/>
              </w:rPr>
              <w:t xml:space="preserve"> stop the legacy PO monitoring </w:t>
            </w:r>
            <w:r>
              <w:rPr>
                <w:rFonts w:hint="default"/>
                <w:color w:val="FF0000"/>
                <w:sz w:val="20"/>
                <w:szCs w:val="20"/>
              </w:rPr>
              <w:t xml:space="preserve">before UE receives LP-WUS indicating wake-up </w:t>
            </w:r>
          </w:p>
          <w:p>
            <w:pPr>
              <w:keepNext w:val="0"/>
              <w:keepLines w:val="0"/>
              <w:widowControl/>
              <w:numPr>
                <w:ilvl w:val="0"/>
                <w:numId w:val="19"/>
              </w:numPr>
              <w:suppressLineNumbers w:val="0"/>
              <w:spacing w:before="0" w:beforeAutospacing="0" w:after="0" w:afterAutospacing="0"/>
              <w:ind w:right="0"/>
              <w:rPr>
                <w:rFonts w:hint="default" w:eastAsia="Batang"/>
                <w:sz w:val="20"/>
                <w:szCs w:val="20"/>
              </w:rPr>
            </w:pPr>
            <w:r>
              <w:rPr>
                <w:rFonts w:hint="default"/>
                <w:sz w:val="20"/>
                <w:szCs w:val="20"/>
              </w:rPr>
              <w:t xml:space="preserve">The UE monitors the legacy PO (and may monitor PEI) and </w:t>
            </w:r>
            <w:r>
              <w:rPr>
                <w:rFonts w:hint="default"/>
                <w:sz w:val="20"/>
                <w:szCs w:val="20"/>
                <w:highlight w:val="none"/>
              </w:rPr>
              <w:t>may</w:t>
            </w:r>
            <w:r>
              <w:rPr>
                <w:rFonts w:hint="default"/>
                <w:sz w:val="20"/>
                <w:szCs w:val="20"/>
              </w:rPr>
              <w:t xml:space="preserve"> stop LP-WUS monitoring if</w:t>
            </w:r>
          </w:p>
          <w:p>
            <w:pPr>
              <w:keepNext w:val="0"/>
              <w:keepLines w:val="0"/>
              <w:widowControl/>
              <w:numPr>
                <w:ilvl w:val="1"/>
                <w:numId w:val="19"/>
              </w:numPr>
              <w:suppressLineNumbers w:val="0"/>
              <w:spacing w:before="0" w:beforeAutospacing="0" w:after="0" w:afterAutospacing="0"/>
              <w:ind w:right="0"/>
              <w:rPr>
                <w:rFonts w:hint="default" w:eastAsia="宋体"/>
                <w:sz w:val="20"/>
                <w:szCs w:val="20"/>
                <w:lang w:eastAsia="zh-CN"/>
              </w:rPr>
            </w:pPr>
            <w:r>
              <w:rPr>
                <w:rFonts w:hint="default"/>
                <w:sz w:val="20"/>
                <w:szCs w:val="20"/>
              </w:rPr>
              <w:t>the serving cell measurement performed by the LR is below exit threshold</w:t>
            </w:r>
            <w:r>
              <w:rPr>
                <w:rFonts w:hint="default"/>
                <w:color w:val="FF0000"/>
                <w:sz w:val="20"/>
                <w:szCs w:val="20"/>
              </w:rPr>
              <w:t xml:space="preserve">(s), if </w:t>
            </w:r>
            <w:r>
              <w:rPr>
                <w:rFonts w:hint="default"/>
                <w:sz w:val="20"/>
                <w:szCs w:val="20"/>
              </w:rPr>
              <w:t>configured by the gNB</w:t>
            </w:r>
            <w:r>
              <w:rPr>
                <w:rFonts w:hint="default"/>
                <w:strike/>
                <w:color w:val="FF0000"/>
                <w:sz w:val="20"/>
                <w:szCs w:val="20"/>
              </w:rPr>
              <w:t xml:space="preserve">, and/or </w:t>
            </w:r>
          </w:p>
          <w:p>
            <w:pPr>
              <w:keepNext w:val="0"/>
              <w:keepLines w:val="0"/>
              <w:widowControl/>
              <w:numPr>
                <w:ilvl w:val="1"/>
                <w:numId w:val="19"/>
              </w:numPr>
              <w:suppressLineNumbers w:val="0"/>
              <w:spacing w:before="0" w:beforeAutospacing="0" w:after="0" w:afterAutospacing="0"/>
              <w:ind w:right="0"/>
              <w:rPr>
                <w:rFonts w:hint="default" w:eastAsia="Batang"/>
                <w:sz w:val="20"/>
                <w:szCs w:val="20"/>
              </w:rPr>
            </w:pPr>
            <w:r>
              <w:rPr>
                <w:rFonts w:hint="default"/>
                <w:sz w:val="20"/>
                <w:szCs w:val="20"/>
              </w:rPr>
              <w:t>FFS other conditions</w:t>
            </w:r>
            <w:r>
              <w:rPr>
                <w:rFonts w:hint="default"/>
                <w:color w:val="FF0000"/>
                <w:sz w:val="20"/>
                <w:szCs w:val="20"/>
              </w:rPr>
              <w:t>, and if any, whether all or one or some of the conditions need to be satisfied</w:t>
            </w:r>
          </w:p>
          <w:p>
            <w:pPr>
              <w:keepNext w:val="0"/>
              <w:keepLines w:val="0"/>
              <w:widowControl/>
              <w:numPr>
                <w:ilvl w:val="0"/>
                <w:numId w:val="19"/>
              </w:numPr>
              <w:suppressLineNumbers w:val="0"/>
              <w:spacing w:before="0" w:beforeAutospacing="0" w:after="0" w:afterAutospacing="0"/>
              <w:ind w:right="0"/>
              <w:rPr>
                <w:rFonts w:hint="default"/>
                <w:sz w:val="20"/>
                <w:szCs w:val="20"/>
              </w:rPr>
            </w:pPr>
            <w:r>
              <w:rPr>
                <w:rFonts w:hint="default"/>
                <w:sz w:val="20"/>
                <w:szCs w:val="20"/>
              </w:rPr>
              <w:t>FFS the serving cell measurement metrics</w:t>
            </w:r>
          </w:p>
          <w:p>
            <w:pPr>
              <w:keepNext w:val="0"/>
              <w:keepLines w:val="0"/>
              <w:widowControl/>
              <w:numPr>
                <w:ilvl w:val="0"/>
                <w:numId w:val="19"/>
              </w:numPr>
              <w:suppressLineNumbers w:val="0"/>
              <w:spacing w:before="0" w:beforeAutospacing="0" w:after="0" w:afterAutospacing="0"/>
              <w:ind w:right="0"/>
              <w:rPr>
                <w:rFonts w:hint="default"/>
                <w:sz w:val="20"/>
                <w:szCs w:val="20"/>
              </w:rPr>
            </w:pPr>
            <w:r>
              <w:rPr>
                <w:rFonts w:hint="default"/>
                <w:sz w:val="20"/>
                <w:szCs w:val="20"/>
              </w:rPr>
              <w:t>The entry/exit thresholds can be configured separately for different types of LR</w:t>
            </w:r>
          </w:p>
          <w:p>
            <w:pPr>
              <w:keepNext w:val="0"/>
              <w:keepLines w:val="0"/>
              <w:widowControl/>
              <w:numPr>
                <w:ilvl w:val="0"/>
                <w:numId w:val="19"/>
              </w:numPr>
              <w:suppressLineNumbers w:val="0"/>
              <w:spacing w:before="0" w:beforeAutospacing="0" w:after="0" w:afterAutospacing="0"/>
              <w:ind w:right="0"/>
              <w:rPr>
                <w:rFonts w:hint="default"/>
                <w:sz w:val="20"/>
                <w:szCs w:val="20"/>
              </w:rPr>
            </w:pPr>
            <w:r>
              <w:rPr>
                <w:rFonts w:hint="default"/>
                <w:sz w:val="20"/>
                <w:szCs w:val="20"/>
              </w:rPr>
              <w:t xml:space="preserve">It is left to RAN2 discussion whether the threshold(s) are always configured by the gNB. </w:t>
            </w:r>
          </w:p>
          <w:p>
            <w:pPr>
              <w:keepNext w:val="0"/>
              <w:keepLines w:val="0"/>
              <w:widowControl/>
              <w:numPr>
                <w:ilvl w:val="0"/>
                <w:numId w:val="19"/>
              </w:numPr>
              <w:suppressLineNumbers w:val="0"/>
              <w:overflowPunct/>
              <w:autoSpaceDE/>
              <w:autoSpaceDN/>
              <w:adjustRightInd/>
              <w:spacing w:before="0" w:beforeAutospacing="0" w:after="0" w:afterAutospacing="0"/>
              <w:ind w:right="0"/>
              <w:textAlignment w:val="auto"/>
              <w:rPr>
                <w:rFonts w:hint="eastAsia" w:eastAsia="Times New Roman"/>
                <w:color w:val="auto"/>
                <w:sz w:val="20"/>
                <w:szCs w:val="20"/>
                <w:lang w:val="en-GB" w:eastAsia="en-US"/>
              </w:rPr>
            </w:pPr>
            <w:r>
              <w:rPr>
                <w:rFonts w:hint="default"/>
                <w:sz w:val="20"/>
                <w:szCs w:val="20"/>
              </w:rPr>
              <w:t>Note: This may be revisited based on the RAN2/RAN4 discussion.</w:t>
            </w:r>
          </w:p>
        </w:tc>
      </w:tr>
    </w:tbl>
    <w:p>
      <w:pPr>
        <w:overflowPunct w:val="0"/>
        <w:autoSpaceDE w:val="0"/>
        <w:autoSpaceDN w:val="0"/>
        <w:adjustRightInd w:val="0"/>
        <w:spacing w:before="120" w:beforeLines="50" w:after="120"/>
        <w:textAlignment w:val="baseline"/>
        <w:rPr>
          <w:rFonts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A</w:t>
      </w:r>
      <w:r>
        <w:rPr>
          <w:rFonts w:ascii="Times New Roman" w:hAnsi="Times New Roman" w:eastAsia="Times New Roman" w:cs="Times New Roman"/>
          <w:color w:val="000000"/>
          <w:lang w:val="en-US" w:eastAsia="zh-CN"/>
        </w:rPr>
        <w:t>ccording to the above working assumption, regarding when to monitor the LP-WUS, the downlink channel quality of the serving cell can be monitored and compared with the entry threshold to decide whether to enter the LP-WUS coverage or not. The conditions can be based on UE measurement, e.g. RSRP of signals.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If the entry threshold is satisfied, UE will enter the LP-WUS coverage and turn off MR for paging monitoring at the same time.</w:t>
      </w:r>
      <w:r>
        <w:rPr>
          <w:rFonts w:hint="eastAsia" w:eastAsiaTheme="minorEastAsia"/>
          <w:color w:val="000000"/>
          <w:lang w:val="en-US" w:eastAsia="zh-CN"/>
        </w:rPr>
        <w:t xml:space="preserve"> </w:t>
      </w:r>
      <w:r>
        <w:rPr>
          <w:rFonts w:eastAsiaTheme="minorEastAsia"/>
          <w:color w:val="000000"/>
          <w:lang w:val="en-US" w:eastAsia="zh-CN"/>
        </w:rPr>
        <w:t xml:space="preserve">If the </w:t>
      </w:r>
      <w:r>
        <w:rPr>
          <w:rFonts w:hint="eastAsia" w:eastAsiaTheme="minorEastAsia"/>
          <w:color w:val="000000"/>
          <w:lang w:val="en-US" w:eastAsia="zh-CN"/>
        </w:rPr>
        <w:t>SIB message</w:t>
      </w:r>
      <w:r>
        <w:rPr>
          <w:rFonts w:eastAsiaTheme="minorEastAsia"/>
          <w:color w:val="000000"/>
          <w:lang w:val="en-US" w:eastAsia="zh-CN"/>
        </w:rPr>
        <w:t xml:space="preserve"> has been </w:t>
      </w:r>
      <w:r>
        <w:rPr>
          <w:rFonts w:hint="eastAsia" w:eastAsiaTheme="minorEastAsia"/>
          <w:color w:val="000000"/>
          <w:lang w:val="en-US" w:eastAsia="zh-CN"/>
        </w:rPr>
        <w:t>received</w:t>
      </w:r>
      <w:r>
        <w:rPr>
          <w:rFonts w:eastAsiaTheme="minorEastAsia"/>
          <w:color w:val="000000"/>
          <w:lang w:val="en-US" w:eastAsia="zh-CN"/>
        </w:rPr>
        <w:t xml:space="preserve">, UE would like to monitor the LP-WUS and wake up MR to </w:t>
      </w:r>
      <w:r>
        <w:rPr>
          <w:rFonts w:hint="eastAsia" w:eastAsiaTheme="minorEastAsia"/>
          <w:color w:val="000000"/>
          <w:lang w:val="en-US" w:eastAsia="zh-CN"/>
        </w:rPr>
        <w:t>monitor</w:t>
      </w:r>
      <w:r>
        <w:rPr>
          <w:rFonts w:eastAsiaTheme="minorEastAsia"/>
          <w:color w:val="000000"/>
          <w:lang w:val="en-US" w:eastAsia="zh-CN"/>
        </w:rPr>
        <w:t xml:space="preserve"> the legacy PO.</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On the contrary, if the exit threshold is met, UE will exit the LR coverage and turn on the MR receiver for paging monitoring.</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Based on the above analysis,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requirements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3308350" cy="2044700"/>
            <wp:effectExtent l="0" t="0" r="13970" b="0"/>
            <wp:docPr id="7" name="图片 7"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4769\AppData\Local\Microsoft\Windows\INetCache\Content.MSO\E3BB3437.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08350" cy="2044700"/>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w:t>
      </w:r>
      <w:r>
        <w:rPr>
          <w:rFonts w:hint="eastAsia" w:eastAsiaTheme="minorEastAsia"/>
          <w:color w:val="000000"/>
          <w:lang w:val="en-US" w:eastAsia="zh-CN"/>
        </w:rPr>
        <w:t>4</w:t>
      </w:r>
      <w:r>
        <w:rPr>
          <w:rFonts w:eastAsiaTheme="minorEastAsia"/>
          <w:color w:val="000000"/>
          <w:lang w:val="en-US" w:eastAsia="zh-CN"/>
        </w:rPr>
        <w:t xml:space="preserve">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default"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spacing w:after="120"/>
        <w:rPr>
          <w:rFonts w:eastAsiaTheme="minorEastAsia"/>
          <w:color w:val="000000"/>
          <w:lang w:val="en-US" w:eastAsia="zh-CN"/>
        </w:rPr>
      </w:pPr>
      <w:r>
        <w:rPr>
          <w:rFonts w:eastAsiaTheme="minorEastAsia"/>
          <w:color w:val="000000"/>
          <w:lang w:val="en-US" w:eastAsia="zh-CN"/>
        </w:rPr>
        <w:t xml:space="preserve">On the contrary, UE will stop LP-WUS monitoring and turn on the MR to monitor legacy PO if MR turns off before when the exit condition is met. As we all know, the time delay for MR wake-up also exists during this process.  However, network seldom send the paging message to UE in this scenario, and the network does not page the UE </w:t>
      </w:r>
      <w:r>
        <w:rPr>
          <w:rFonts w:hint="eastAsia" w:eastAsiaTheme="minorEastAsia"/>
          <w:color w:val="000000"/>
          <w:lang w:val="en-US" w:eastAsia="zh-CN"/>
        </w:rPr>
        <w:t xml:space="preserve">in most cases </w:t>
      </w:r>
      <w:r>
        <w:rPr>
          <w:rFonts w:eastAsiaTheme="minorEastAsia"/>
          <w:color w:val="000000"/>
          <w:lang w:val="en-US" w:eastAsia="zh-CN"/>
        </w:rPr>
        <w:t>since UE MR will stay deep sleep state and only LR is ON before UE exits LR coverage, there is even no paging. Thus, this time delay will not cause the bad service or communication delay.</w:t>
      </w:r>
    </w:p>
    <w:p>
      <w:pPr>
        <w:spacing w:after="120"/>
        <w:rPr>
          <w:rFonts w:hint="default" w:eastAsiaTheme="minorEastAsia"/>
          <w:b/>
          <w:bCs/>
          <w:color w:val="000000"/>
          <w:lang w:val="en-US" w:eastAsia="zh-CN"/>
        </w:rPr>
      </w:pPr>
      <w:r>
        <w:rPr>
          <w:rFonts w:hint="eastAsia" w:eastAsiaTheme="minorEastAsia"/>
          <w:b/>
          <w:bCs/>
          <w:color w:val="000000"/>
          <w:lang w:val="en-US" w:eastAsia="zh-CN"/>
        </w:rPr>
        <w:t xml:space="preserve">Proposal 16: </w:t>
      </w:r>
      <w:r>
        <w:rPr>
          <w:rFonts w:hint="eastAsia"/>
          <w:b/>
          <w:bCs/>
          <w:color w:val="000000"/>
        </w:rPr>
        <w:t>RAN4 shall clarify the timeline from decoding LP-WUS to MR wake-up in order to monitor legacy PO.</w:t>
      </w:r>
    </w:p>
    <w:p>
      <w:pPr>
        <w:pStyle w:val="2"/>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12"/>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12"/>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r>
        <w:rPr>
          <w:rFonts w:hint="eastAsia" w:cs="Times New Roman" w:eastAsiaTheme="minorEastAsia"/>
          <w:b/>
          <w:bCs/>
          <w:color w:val="000000"/>
          <w:kern w:val="0"/>
          <w:sz w:val="20"/>
          <w:szCs w:val="20"/>
          <w:lang w:val="en-US" w:eastAsia="zh-CN" w:bidi="ar"/>
        </w:rPr>
        <w:t>Observation 2: MR and LR shall both perform serving cell measurement. Only MR performs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2: RAN4 shall specify the whole procedure based on serving cell measurement and specify the UE behaviour when it satisfies the entry/exit condition:</w:t>
      </w:r>
    </w:p>
    <w:p>
      <w:pPr>
        <w:numPr>
          <w:ilvl w:val="0"/>
          <w:numId w:val="13"/>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3"/>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3: When UE camps on fully LR state, MR is OFF and only LR is ON, it means that UE is in the center area of the current cell. UE LR performs serving cell measurement and there is no neighbour cell measurement without high priority frequency.</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4: In legacy, RAN1 introduced SMTC in order to reduce the complexity of UE measurements because of neighbour cell measurement.</w:t>
      </w:r>
    </w:p>
    <w:p>
      <w:pPr>
        <w:overflowPunct w:val="0"/>
        <w:autoSpaceDE w:val="0"/>
        <w:autoSpaceDN w:val="0"/>
        <w:adjustRightInd w:val="0"/>
        <w:spacing w:before="120" w:beforeLines="50" w:after="120"/>
        <w:textAlignment w:val="baseline"/>
        <w:rPr>
          <w:rFonts w:hint="eastAsia" w:eastAsia="宋体"/>
          <w:b/>
          <w:bCs/>
          <w:lang w:val="en-US" w:eastAsia="zh-CN"/>
        </w:rPr>
      </w:pPr>
      <w:r>
        <w:rPr>
          <w:rFonts w:hint="eastAsia" w:eastAsia="宋体"/>
          <w:b/>
          <w:bCs/>
          <w:lang w:val="en-US" w:eastAsia="zh-CN"/>
        </w:rPr>
        <w:t>Proposal 3: RAN4 shall define the serving cell measurement requirements based on LP-SS. However, we deem that the time window like SMTC may not be introduced.</w:t>
      </w:r>
    </w:p>
    <w:p>
      <w:pPr>
        <w:overflowPunct w:val="0"/>
        <w:autoSpaceDE w:val="0"/>
        <w:autoSpaceDN w:val="0"/>
        <w:adjustRightInd w:val="0"/>
        <w:spacing w:before="120" w:beforeLines="50" w:after="120"/>
        <w:textAlignment w:val="baseline"/>
        <w:rPr>
          <w:rFonts w:hint="default" w:eastAsia="宋体"/>
          <w:b/>
          <w:bCs/>
          <w:lang w:val="en-US" w:eastAsia="zh-CN"/>
        </w:rPr>
      </w:pPr>
      <w:r>
        <w:rPr>
          <w:rFonts w:hint="eastAsia" w:eastAsia="宋体"/>
          <w:b/>
          <w:bCs/>
          <w:lang w:val="en-US" w:eastAsia="zh-CN"/>
        </w:rPr>
        <w:t>Proposal 4: T</w:t>
      </w:r>
      <w:r>
        <w:rPr>
          <w:rFonts w:hint="eastAsia" w:eastAsia="宋体"/>
          <w:sz w:val="20"/>
          <w:szCs w:val="20"/>
          <w:lang w:val="en-US" w:eastAsia="zh-CN"/>
        </w:rPr>
        <w:t>he legacy RRM requirements based on SSB can be the baseline when considering defining the concrete requirements based on LP-SS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5: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5: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6: RAN4 shall wait for RAN2 to define the relaxed measurement condition for serving cell measurement if it has.</w:t>
      </w:r>
    </w:p>
    <w:p>
      <w:r>
        <w:rPr>
          <w:rFonts w:hint="eastAsia" w:eastAsiaTheme="minorEastAsia"/>
          <w:b/>
          <w:bCs/>
          <w:color w:val="000000"/>
          <w:highlight w:val="none"/>
          <w:lang w:val="en-US" w:eastAsia="zh-CN"/>
        </w:rPr>
        <w:t>Proposal 6: When UE stays in MR+LR state, RAN4 shall consider the MR serving cell measurement relaxation and also study the mobility performance to quantify the relaxation such as scaling factor for time period.</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7: RAN2 deems that the entry condition for LP-WUS monitoring can be the only MR measurement result or MR measurement result and LR measurement result. However, the exit condition for LP-WUS monitoring can only b e the LR based measurement.</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8: The above interpretation implies that the LR is ON or OFF is up to UE implementation. MR measurement shall be always be used. However, the accuracy of LR measurement is not confirmed, unless one offset for LR measurement is introduced which can reach the similar accuracy as MR based measurement.</w:t>
      </w:r>
    </w:p>
    <w:p>
      <w:r>
        <w:rPr>
          <w:rFonts w:hint="eastAsia" w:eastAsiaTheme="minorEastAsia"/>
          <w:b/>
          <w:bCs/>
          <w:color w:val="000000"/>
          <w:lang w:val="en-US" w:eastAsia="zh-CN"/>
        </w:rPr>
        <w:t>Proposal 7: RAN4 shall not consider or study the combined measurement from two receivers for LP-WUS monitoring whatever the relationship between LR based threshold and MR based threshold is.</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9: </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the entry condition, there are two cases which from Case#5 to Case#3 and from Case#1 or Case#2 which is not confirmed to Case#3.</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the exit condition, Case#3 shall enter into Case#5 or Case#1.</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Proposal 8: </w:t>
      </w:r>
    </w:p>
    <w:p>
      <w:pPr>
        <w:numPr>
          <w:ilvl w:val="0"/>
          <w:numId w:val="16"/>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If the MR based measurement and LR based measurement can be used and each measurement result shall satisfy each threshold, the UE can exit Case#3.</w:t>
      </w:r>
    </w:p>
    <w:p>
      <w:pPr>
        <w:numPr>
          <w:ilvl w:val="0"/>
          <w:numId w:val="16"/>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 xml:space="preserve">If the MR based measurement and LR based measurement can be used and one of measurement results satisfy corresponding threshold, the UE can exit Case#3.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9: From RAN4 requirement perspective, not consider combining the measurements across the two radios, i.e., MR and WUR.</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10: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11: The legacy intra-/inter-frequency and inter-RAT neighbour cell measurement requirements can be the baseline and RAN4 can study the relaxed scaling factor.</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10: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fully MR state, only MR is ON and LR is OFF. MR performs serving cell measurement and also neighbour cell measurement.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Theme="minorEastAsia"/>
          <w:b/>
          <w:bCs/>
          <w:color w:val="000000"/>
          <w:lang w:val="en-US" w:eastAsia="zh-CN"/>
        </w:rPr>
      </w:pPr>
      <w:r>
        <w:rPr>
          <w:rFonts w:hint="eastAsia" w:eastAsia="宋体"/>
          <w:b/>
          <w:bCs/>
          <w:lang w:val="en-US" w:eastAsia="zh-CN"/>
        </w:rPr>
        <w:t>Proposal 12: RAN4 shall reuse the legacy cell re-selection requirements when UE stays in fully MR state.</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12: The different cases can be seen as following table with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13: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13: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14</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14</w:t>
      </w:r>
      <w:r>
        <w:rPr>
          <w:rFonts w:eastAsiaTheme="minorEastAsia"/>
          <w:b/>
          <w:color w:val="000000"/>
          <w:lang w:val="en-US" w:eastAsia="zh-CN"/>
        </w:rPr>
        <w:t>: Relaxation factors within the range from 8 to 16 as the starting point for the relaxation factor for the MR RRM relaxation.</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15</w:t>
      </w:r>
      <w:r>
        <w:rPr>
          <w:rFonts w:eastAsiaTheme="minorEastAsia"/>
          <w:b/>
          <w:color w:val="000000"/>
          <w:lang w:val="en-US" w:eastAsia="zh-CN"/>
        </w:rPr>
        <w:t>: RAN4 shall not define the measurement requirements at CONNECTED state.</w:t>
      </w:r>
    </w:p>
    <w:p>
      <w:pPr>
        <w:spacing w:after="120"/>
        <w:rPr>
          <w:rFonts w:eastAsia="宋体"/>
          <w:lang w:eastAsia="zh-CN"/>
        </w:rPr>
      </w:pPr>
      <w:r>
        <w:rPr>
          <w:rFonts w:hint="eastAsia" w:eastAsiaTheme="minorEastAsia"/>
          <w:b/>
          <w:bCs/>
          <w:color w:val="000000"/>
          <w:lang w:val="en-US" w:eastAsia="zh-CN"/>
        </w:rPr>
        <w:t xml:space="preserve">Proposal 16: </w:t>
      </w:r>
      <w:r>
        <w:rPr>
          <w:rFonts w:hint="eastAsia"/>
          <w:b/>
          <w:bCs/>
          <w:color w:val="000000"/>
        </w:rPr>
        <w:t>RAN4 shall clarify the timeline from decoding LP-WUS to MR wake-up in order to monitor legacy PO.</w:t>
      </w:r>
    </w:p>
    <w:p>
      <w:pPr>
        <w:pStyle w:val="2"/>
        <w:rPr>
          <w:lang w:val="en-US"/>
        </w:rPr>
      </w:pPr>
      <w:r>
        <w:rPr>
          <w:lang w:val="en-US"/>
        </w:rPr>
        <w:t>References</w:t>
      </w:r>
      <w:bookmarkStart w:id="4" w:name="_Ref114500673"/>
      <w:bookmarkEnd w:id="4"/>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3"/>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850D6"/>
    <w:multiLevelType w:val="singleLevel"/>
    <w:tmpl w:val="AD6850D6"/>
    <w:lvl w:ilvl="0" w:tentative="0">
      <w:start w:val="1"/>
      <w:numFmt w:val="bullet"/>
      <w:lvlText w:val=""/>
      <w:lvlJc w:val="left"/>
      <w:pPr>
        <w:ind w:left="420" w:hanging="420"/>
      </w:pPr>
      <w:rPr>
        <w:rFonts w:hint="default" w:ascii="Wingdings" w:hAnsi="Wingdings"/>
      </w:rPr>
    </w:lvl>
  </w:abstractNum>
  <w:abstractNum w:abstractNumId="1">
    <w:nsid w:val="B8F6145C"/>
    <w:multiLevelType w:val="singleLevel"/>
    <w:tmpl w:val="B8F6145C"/>
    <w:lvl w:ilvl="0" w:tentative="0">
      <w:start w:val="1"/>
      <w:numFmt w:val="bullet"/>
      <w:lvlText w:val=""/>
      <w:lvlJc w:val="left"/>
      <w:pPr>
        <w:tabs>
          <w:tab w:val="left" w:pos="420"/>
        </w:tabs>
        <w:ind w:left="840" w:hanging="42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E6FC106"/>
    <w:multiLevelType w:val="singleLevel"/>
    <w:tmpl w:val="CE6FC106"/>
    <w:lvl w:ilvl="0" w:tentative="0">
      <w:start w:val="1"/>
      <w:numFmt w:val="bullet"/>
      <w:lvlText w:val=""/>
      <w:lvlJc w:val="left"/>
      <w:pPr>
        <w:ind w:left="420" w:hanging="420"/>
      </w:pPr>
      <w:rPr>
        <w:rFonts w:hint="default" w:ascii="Wingdings" w:hAnsi="Wingdings"/>
      </w:rPr>
    </w:lvl>
  </w:abstractNum>
  <w:abstractNum w:abstractNumId="4">
    <w:nsid w:val="00000011"/>
    <w:multiLevelType w:val="multilevel"/>
    <w:tmpl w:val="0000001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7412473"/>
    <w:multiLevelType w:val="multilevel"/>
    <w:tmpl w:val="274124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57246D0"/>
    <w:multiLevelType w:val="singleLevel"/>
    <w:tmpl w:val="357246D0"/>
    <w:lvl w:ilvl="0" w:tentative="0">
      <w:start w:val="1"/>
      <w:numFmt w:val="decimal"/>
      <w:suff w:val="space"/>
      <w:lvlText w:val="%1."/>
      <w:lvlJc w:val="left"/>
    </w:lvl>
  </w:abstractNum>
  <w:abstractNum w:abstractNumId="8">
    <w:nsid w:val="4843675F"/>
    <w:multiLevelType w:val="multilevel"/>
    <w:tmpl w:val="4843675F"/>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9">
    <w:nsid w:val="4A9F68E0"/>
    <w:multiLevelType w:val="multilevel"/>
    <w:tmpl w:val="4A9F68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41099D"/>
    <w:multiLevelType w:val="multilevel"/>
    <w:tmpl w:val="4D41099D"/>
    <w:lvl w:ilvl="0" w:tentative="0">
      <w:start w:val="1"/>
      <w:numFmt w:val="bullet"/>
      <w:lvlText w:val=""/>
      <w:lvlJc w:val="left"/>
      <w:pPr>
        <w:ind w:left="996" w:hanging="420"/>
      </w:pPr>
      <w:rPr>
        <w:rFonts w:hint="default" w:ascii="Wingdings" w:hAnsi="Wingdings"/>
      </w:rPr>
    </w:lvl>
    <w:lvl w:ilvl="1" w:tentative="0">
      <w:start w:val="1"/>
      <w:numFmt w:val="bullet"/>
      <w:lvlText w:val=""/>
      <w:lvlJc w:val="left"/>
      <w:pPr>
        <w:ind w:left="1416" w:hanging="420"/>
      </w:pPr>
      <w:rPr>
        <w:rFonts w:hint="default" w:ascii="Wingdings" w:hAnsi="Wingdings"/>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11">
    <w:nsid w:val="4D6E3167"/>
    <w:multiLevelType w:val="multilevel"/>
    <w:tmpl w:val="4D6E3167"/>
    <w:lvl w:ilvl="0" w:tentative="0">
      <w:start w:val="1"/>
      <w:numFmt w:val="decimal"/>
      <w:pStyle w:val="78"/>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9FC5ED6"/>
    <w:multiLevelType w:val="singleLevel"/>
    <w:tmpl w:val="59FC5ED6"/>
    <w:lvl w:ilvl="0" w:tentative="0">
      <w:start w:val="1"/>
      <w:numFmt w:val="bullet"/>
      <w:lvlText w:val=""/>
      <w:lvlJc w:val="left"/>
      <w:pPr>
        <w:tabs>
          <w:tab w:val="left" w:pos="420"/>
        </w:tabs>
        <w:ind w:left="840" w:hanging="420"/>
      </w:pPr>
      <w:rPr>
        <w:rFonts w:hint="default" w:ascii="Wingdings" w:hAnsi="Wingdings"/>
      </w:rPr>
    </w:lvl>
  </w:abstractNum>
  <w:abstractNum w:abstractNumId="14">
    <w:nsid w:val="659270C0"/>
    <w:multiLevelType w:val="multilevel"/>
    <w:tmpl w:val="659270C0"/>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Times New Roman" w:hAnsi="Times New Roman" w:eastAsia="Malgun Gothic" w:cs="Times New Roman"/>
        <w:sz w:val="24"/>
      </w:rPr>
    </w:lvl>
    <w:lvl w:ilvl="3" w:tentative="0">
      <w:start w:val="0"/>
      <w:numFmt w:val="bullet"/>
      <w:lvlText w:val="◦"/>
      <w:lvlJc w:val="left"/>
      <w:pPr>
        <w:ind w:left="2256" w:hanging="420"/>
      </w:pPr>
      <w:rPr>
        <w:rFonts w:hint="default" w:ascii="Calibri" w:hAnsi="Calibri"/>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15">
    <w:nsid w:val="665C217B"/>
    <w:multiLevelType w:val="multilevel"/>
    <w:tmpl w:val="665C217B"/>
    <w:lvl w:ilvl="0" w:tentative="0">
      <w:start w:val="1"/>
      <w:numFmt w:val="decimal"/>
      <w:pStyle w:val="75"/>
      <w:lvlText w:val="%1"/>
      <w:lvlJc w:val="left"/>
      <w:pPr>
        <w:ind w:left="360" w:hanging="360"/>
      </w:pPr>
      <w:rPr>
        <w:rFonts w:hint="default"/>
      </w:rPr>
    </w:lvl>
    <w:lvl w:ilvl="1" w:tentative="0">
      <w:start w:val="1"/>
      <w:numFmt w:val="decimal"/>
      <w:pStyle w:val="77"/>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6">
    <w:nsid w:val="6D09FA95"/>
    <w:multiLevelType w:val="singleLevel"/>
    <w:tmpl w:val="6D09FA95"/>
    <w:lvl w:ilvl="0" w:tentative="0">
      <w:start w:val="1"/>
      <w:numFmt w:val="decimal"/>
      <w:suff w:val="space"/>
      <w:lvlText w:val="%1."/>
      <w:lvlJc w:val="left"/>
    </w:lvl>
  </w:abstractNum>
  <w:abstractNum w:abstractNumId="17">
    <w:nsid w:val="70146DC0"/>
    <w:multiLevelType w:val="multilevel"/>
    <w:tmpl w:val="70146DC0"/>
    <w:lvl w:ilvl="0" w:tentative="0">
      <w:start w:val="1"/>
      <w:numFmt w:val="bullet"/>
      <w:pStyle w:val="8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7B2419"/>
    <w:multiLevelType w:val="multilevel"/>
    <w:tmpl w:val="7D7B241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1285"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num w:numId="1">
    <w:abstractNumId w:val="18"/>
  </w:num>
  <w:num w:numId="2">
    <w:abstractNumId w:val="15"/>
  </w:num>
  <w:num w:numId="3">
    <w:abstractNumId w:val="11"/>
  </w:num>
  <w:num w:numId="4">
    <w:abstractNumId w:val="17"/>
  </w:num>
  <w:num w:numId="5">
    <w:abstractNumId w:val="2"/>
  </w:num>
  <w:num w:numId="6">
    <w:abstractNumId w:val="5"/>
  </w:num>
  <w:num w:numId="7">
    <w:abstractNumId w:val="10"/>
  </w:num>
  <w:num w:numId="8">
    <w:abstractNumId w:val="8"/>
  </w:num>
  <w:num w:numId="9">
    <w:abstractNumId w:val="14"/>
  </w:num>
  <w:num w:numId="10">
    <w:abstractNumId w:val="12"/>
  </w:num>
  <w:num w:numId="11">
    <w:abstractNumId w:val="16"/>
  </w:num>
  <w:num w:numId="12">
    <w:abstractNumId w:val="7"/>
  </w:num>
  <w:num w:numId="13">
    <w:abstractNumId w:val="0"/>
  </w:num>
  <w:num w:numId="14">
    <w:abstractNumId w:val="13"/>
  </w:num>
  <w:num w:numId="15">
    <w:abstractNumId w:val="1"/>
  </w:num>
  <w:num w:numId="16">
    <w:abstractNumId w:val="3"/>
  </w:num>
  <w:num w:numId="17">
    <w:abstractNumId w:val="4"/>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7229"/>
    <w:rsid w:val="00310214"/>
    <w:rsid w:val="00310C78"/>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3FC0"/>
    <w:rsid w:val="005E4BB2"/>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D1712"/>
    <w:rsid w:val="011629BA"/>
    <w:rsid w:val="01410DC2"/>
    <w:rsid w:val="0172290D"/>
    <w:rsid w:val="01750D8F"/>
    <w:rsid w:val="01821808"/>
    <w:rsid w:val="01907C39"/>
    <w:rsid w:val="01A431CF"/>
    <w:rsid w:val="01A83D2A"/>
    <w:rsid w:val="01B916AE"/>
    <w:rsid w:val="01E27A17"/>
    <w:rsid w:val="02365315"/>
    <w:rsid w:val="024205C1"/>
    <w:rsid w:val="024950FD"/>
    <w:rsid w:val="02780E59"/>
    <w:rsid w:val="02870AC3"/>
    <w:rsid w:val="029011A2"/>
    <w:rsid w:val="029E2444"/>
    <w:rsid w:val="02A82449"/>
    <w:rsid w:val="02C846D5"/>
    <w:rsid w:val="02D3400F"/>
    <w:rsid w:val="02EA3D10"/>
    <w:rsid w:val="02EE768C"/>
    <w:rsid w:val="037F7FC9"/>
    <w:rsid w:val="038134CC"/>
    <w:rsid w:val="03B504A3"/>
    <w:rsid w:val="03BF3D9F"/>
    <w:rsid w:val="03D00F10"/>
    <w:rsid w:val="03D16E47"/>
    <w:rsid w:val="03FD04B9"/>
    <w:rsid w:val="04076F95"/>
    <w:rsid w:val="041A4C5F"/>
    <w:rsid w:val="04241DDC"/>
    <w:rsid w:val="04405E89"/>
    <w:rsid w:val="044B12E0"/>
    <w:rsid w:val="044C3DBA"/>
    <w:rsid w:val="045B1EC0"/>
    <w:rsid w:val="046301A2"/>
    <w:rsid w:val="04732FB8"/>
    <w:rsid w:val="04871DE8"/>
    <w:rsid w:val="049C29DF"/>
    <w:rsid w:val="04A03521"/>
    <w:rsid w:val="04A12403"/>
    <w:rsid w:val="04A66AE4"/>
    <w:rsid w:val="04A815F7"/>
    <w:rsid w:val="04A8589D"/>
    <w:rsid w:val="04AD06A4"/>
    <w:rsid w:val="04B90C03"/>
    <w:rsid w:val="04C736E8"/>
    <w:rsid w:val="04FA6113"/>
    <w:rsid w:val="05072077"/>
    <w:rsid w:val="050C7718"/>
    <w:rsid w:val="05214F03"/>
    <w:rsid w:val="055F47D2"/>
    <w:rsid w:val="05676E89"/>
    <w:rsid w:val="056F2CF7"/>
    <w:rsid w:val="05914531"/>
    <w:rsid w:val="059A7C7F"/>
    <w:rsid w:val="059E20E4"/>
    <w:rsid w:val="05AE749A"/>
    <w:rsid w:val="05B87123"/>
    <w:rsid w:val="05BC0BF8"/>
    <w:rsid w:val="05C67F11"/>
    <w:rsid w:val="05C86C09"/>
    <w:rsid w:val="05DB67C3"/>
    <w:rsid w:val="05DF20B2"/>
    <w:rsid w:val="05F86AB1"/>
    <w:rsid w:val="06081557"/>
    <w:rsid w:val="06155A5F"/>
    <w:rsid w:val="062A342B"/>
    <w:rsid w:val="062B4867"/>
    <w:rsid w:val="06362AC0"/>
    <w:rsid w:val="06526B6D"/>
    <w:rsid w:val="06557C32"/>
    <w:rsid w:val="065C31A2"/>
    <w:rsid w:val="068A254B"/>
    <w:rsid w:val="068F0D98"/>
    <w:rsid w:val="06A679EB"/>
    <w:rsid w:val="06A70509"/>
    <w:rsid w:val="06B04988"/>
    <w:rsid w:val="06DF1C54"/>
    <w:rsid w:val="06E754C9"/>
    <w:rsid w:val="06EF7CF0"/>
    <w:rsid w:val="07073FA3"/>
    <w:rsid w:val="072C1ACB"/>
    <w:rsid w:val="073443DD"/>
    <w:rsid w:val="073A3AC1"/>
    <w:rsid w:val="074849DB"/>
    <w:rsid w:val="074E6ABF"/>
    <w:rsid w:val="0762514C"/>
    <w:rsid w:val="076A2A73"/>
    <w:rsid w:val="076C72C1"/>
    <w:rsid w:val="077324C8"/>
    <w:rsid w:val="078D77EF"/>
    <w:rsid w:val="078E4DC7"/>
    <w:rsid w:val="07965662"/>
    <w:rsid w:val="079A55F6"/>
    <w:rsid w:val="079B2B1B"/>
    <w:rsid w:val="07AB74E5"/>
    <w:rsid w:val="07B1502F"/>
    <w:rsid w:val="07B73B68"/>
    <w:rsid w:val="07C3764D"/>
    <w:rsid w:val="07F66AC5"/>
    <w:rsid w:val="082E740D"/>
    <w:rsid w:val="0833764C"/>
    <w:rsid w:val="08351845"/>
    <w:rsid w:val="08392892"/>
    <w:rsid w:val="083D7D2C"/>
    <w:rsid w:val="084C657D"/>
    <w:rsid w:val="08500BB1"/>
    <w:rsid w:val="087B6B61"/>
    <w:rsid w:val="087E40F9"/>
    <w:rsid w:val="08916AA8"/>
    <w:rsid w:val="08AF00C1"/>
    <w:rsid w:val="08B531C0"/>
    <w:rsid w:val="08D53034"/>
    <w:rsid w:val="08E215E6"/>
    <w:rsid w:val="08FE41CD"/>
    <w:rsid w:val="0903652D"/>
    <w:rsid w:val="090515DA"/>
    <w:rsid w:val="091A3AFD"/>
    <w:rsid w:val="091B22FA"/>
    <w:rsid w:val="09367BAA"/>
    <w:rsid w:val="09606948"/>
    <w:rsid w:val="0967460E"/>
    <w:rsid w:val="096A6027"/>
    <w:rsid w:val="096E0D4F"/>
    <w:rsid w:val="09736AE0"/>
    <w:rsid w:val="097D67CD"/>
    <w:rsid w:val="09A072E5"/>
    <w:rsid w:val="09D83256"/>
    <w:rsid w:val="09DC3926"/>
    <w:rsid w:val="0A0F5AF0"/>
    <w:rsid w:val="0A143BE1"/>
    <w:rsid w:val="0A16051D"/>
    <w:rsid w:val="0A1948AD"/>
    <w:rsid w:val="0A286DFB"/>
    <w:rsid w:val="0A3C040B"/>
    <w:rsid w:val="0A485551"/>
    <w:rsid w:val="0A657C85"/>
    <w:rsid w:val="0A7B21D8"/>
    <w:rsid w:val="0A81257F"/>
    <w:rsid w:val="0A912F22"/>
    <w:rsid w:val="0A9A2CF5"/>
    <w:rsid w:val="0ABC02E8"/>
    <w:rsid w:val="0AC16484"/>
    <w:rsid w:val="0AE71C0C"/>
    <w:rsid w:val="0AED0BB9"/>
    <w:rsid w:val="0AEF1DE4"/>
    <w:rsid w:val="0AEF2654"/>
    <w:rsid w:val="0AF22EF3"/>
    <w:rsid w:val="0B1746FD"/>
    <w:rsid w:val="0B1A430B"/>
    <w:rsid w:val="0B2756B1"/>
    <w:rsid w:val="0B39774D"/>
    <w:rsid w:val="0B3F6621"/>
    <w:rsid w:val="0B532A29"/>
    <w:rsid w:val="0B5E0983"/>
    <w:rsid w:val="0B627458"/>
    <w:rsid w:val="0B6A4840"/>
    <w:rsid w:val="0B707256"/>
    <w:rsid w:val="0B7129F9"/>
    <w:rsid w:val="0B744B6D"/>
    <w:rsid w:val="0B776456"/>
    <w:rsid w:val="0B7D32E8"/>
    <w:rsid w:val="0B7E60C9"/>
    <w:rsid w:val="0B85192E"/>
    <w:rsid w:val="0B8528F2"/>
    <w:rsid w:val="0B903738"/>
    <w:rsid w:val="0BB66944"/>
    <w:rsid w:val="0BBA15A6"/>
    <w:rsid w:val="0BBE1519"/>
    <w:rsid w:val="0BC14CD6"/>
    <w:rsid w:val="0BC25C28"/>
    <w:rsid w:val="0BDB585C"/>
    <w:rsid w:val="0BE15BA9"/>
    <w:rsid w:val="0BEC7F79"/>
    <w:rsid w:val="0BEF4F2C"/>
    <w:rsid w:val="0BF56721"/>
    <w:rsid w:val="0BF640B4"/>
    <w:rsid w:val="0C527341"/>
    <w:rsid w:val="0C595337"/>
    <w:rsid w:val="0C5A77D4"/>
    <w:rsid w:val="0C8F0D48"/>
    <w:rsid w:val="0C9D6E83"/>
    <w:rsid w:val="0CB314C2"/>
    <w:rsid w:val="0CBB32A6"/>
    <w:rsid w:val="0CCB0A0B"/>
    <w:rsid w:val="0CD957A2"/>
    <w:rsid w:val="0CEC69C1"/>
    <w:rsid w:val="0D1129FD"/>
    <w:rsid w:val="0D3A5239"/>
    <w:rsid w:val="0D3A7039"/>
    <w:rsid w:val="0D4356A8"/>
    <w:rsid w:val="0D5A67F8"/>
    <w:rsid w:val="0D6F7ED0"/>
    <w:rsid w:val="0D8972A3"/>
    <w:rsid w:val="0D901ED6"/>
    <w:rsid w:val="0D977DFF"/>
    <w:rsid w:val="0D980C13"/>
    <w:rsid w:val="0DAA2C4D"/>
    <w:rsid w:val="0DB607B8"/>
    <w:rsid w:val="0DC22600"/>
    <w:rsid w:val="0DC51AC4"/>
    <w:rsid w:val="0DC63EF2"/>
    <w:rsid w:val="0DCC18B3"/>
    <w:rsid w:val="0DCF3F72"/>
    <w:rsid w:val="0DF94BB1"/>
    <w:rsid w:val="0DFF4B13"/>
    <w:rsid w:val="0E010A88"/>
    <w:rsid w:val="0E165F14"/>
    <w:rsid w:val="0E216504"/>
    <w:rsid w:val="0E24538F"/>
    <w:rsid w:val="0E3B63F4"/>
    <w:rsid w:val="0E402695"/>
    <w:rsid w:val="0E472AF3"/>
    <w:rsid w:val="0E48406C"/>
    <w:rsid w:val="0E4B437F"/>
    <w:rsid w:val="0E6B4543"/>
    <w:rsid w:val="0E6D29BA"/>
    <w:rsid w:val="0E777792"/>
    <w:rsid w:val="0E7B1FCA"/>
    <w:rsid w:val="0E854EC1"/>
    <w:rsid w:val="0E880E39"/>
    <w:rsid w:val="0E970598"/>
    <w:rsid w:val="0E9D025B"/>
    <w:rsid w:val="0EDE6779"/>
    <w:rsid w:val="0EF97174"/>
    <w:rsid w:val="0F041887"/>
    <w:rsid w:val="0F095A37"/>
    <w:rsid w:val="0F2550AA"/>
    <w:rsid w:val="0F3A116B"/>
    <w:rsid w:val="0F511411"/>
    <w:rsid w:val="0F64663A"/>
    <w:rsid w:val="0F6F1ED4"/>
    <w:rsid w:val="0F732F04"/>
    <w:rsid w:val="0F7F2D55"/>
    <w:rsid w:val="0F80004E"/>
    <w:rsid w:val="0F871EAB"/>
    <w:rsid w:val="0FAA30DE"/>
    <w:rsid w:val="0FAB1E11"/>
    <w:rsid w:val="0FAB42D9"/>
    <w:rsid w:val="0FB514C8"/>
    <w:rsid w:val="0FB726D8"/>
    <w:rsid w:val="0FB97DD9"/>
    <w:rsid w:val="0FDC101C"/>
    <w:rsid w:val="0FDF5A14"/>
    <w:rsid w:val="0FE30AAD"/>
    <w:rsid w:val="0FE40941"/>
    <w:rsid w:val="0FEB1C2B"/>
    <w:rsid w:val="0FF2435C"/>
    <w:rsid w:val="10013A51"/>
    <w:rsid w:val="1008703A"/>
    <w:rsid w:val="1014447B"/>
    <w:rsid w:val="102E7D98"/>
    <w:rsid w:val="10303D98"/>
    <w:rsid w:val="10322021"/>
    <w:rsid w:val="103809FF"/>
    <w:rsid w:val="103A57C3"/>
    <w:rsid w:val="103C1F27"/>
    <w:rsid w:val="10403535"/>
    <w:rsid w:val="10711344"/>
    <w:rsid w:val="10792E27"/>
    <w:rsid w:val="108128D2"/>
    <w:rsid w:val="1096068D"/>
    <w:rsid w:val="10AA21DC"/>
    <w:rsid w:val="10B26094"/>
    <w:rsid w:val="10B951CF"/>
    <w:rsid w:val="10BB3068"/>
    <w:rsid w:val="10D82C05"/>
    <w:rsid w:val="10F86567"/>
    <w:rsid w:val="10FE598E"/>
    <w:rsid w:val="110E3EB6"/>
    <w:rsid w:val="11125034"/>
    <w:rsid w:val="111F0F35"/>
    <w:rsid w:val="112660DA"/>
    <w:rsid w:val="113A6E67"/>
    <w:rsid w:val="11554042"/>
    <w:rsid w:val="11617971"/>
    <w:rsid w:val="11622F64"/>
    <w:rsid w:val="116F4939"/>
    <w:rsid w:val="11846297"/>
    <w:rsid w:val="118B5BFE"/>
    <w:rsid w:val="11A3314B"/>
    <w:rsid w:val="11AD4D58"/>
    <w:rsid w:val="11EE75FC"/>
    <w:rsid w:val="11EF79F9"/>
    <w:rsid w:val="120B59B6"/>
    <w:rsid w:val="1212080A"/>
    <w:rsid w:val="12132537"/>
    <w:rsid w:val="121500F9"/>
    <w:rsid w:val="122E49BE"/>
    <w:rsid w:val="123A7554"/>
    <w:rsid w:val="12411D81"/>
    <w:rsid w:val="1254771D"/>
    <w:rsid w:val="12645B84"/>
    <w:rsid w:val="12697AE4"/>
    <w:rsid w:val="126C0B6C"/>
    <w:rsid w:val="127C66E3"/>
    <w:rsid w:val="128C24E3"/>
    <w:rsid w:val="129E41E5"/>
    <w:rsid w:val="12B442BF"/>
    <w:rsid w:val="12BF607C"/>
    <w:rsid w:val="12C003F7"/>
    <w:rsid w:val="12E23C94"/>
    <w:rsid w:val="131B4F68"/>
    <w:rsid w:val="131F396E"/>
    <w:rsid w:val="133D568F"/>
    <w:rsid w:val="134E6A3B"/>
    <w:rsid w:val="135A4CBD"/>
    <w:rsid w:val="136404F3"/>
    <w:rsid w:val="13642DDD"/>
    <w:rsid w:val="1376437D"/>
    <w:rsid w:val="13B61E8E"/>
    <w:rsid w:val="13C23A1B"/>
    <w:rsid w:val="13CC1508"/>
    <w:rsid w:val="13CF4DB5"/>
    <w:rsid w:val="13D07F0E"/>
    <w:rsid w:val="13EB1DD0"/>
    <w:rsid w:val="13F240D0"/>
    <w:rsid w:val="13F6014E"/>
    <w:rsid w:val="14147ABD"/>
    <w:rsid w:val="14175E0A"/>
    <w:rsid w:val="141A74A2"/>
    <w:rsid w:val="141F1BA5"/>
    <w:rsid w:val="142A2204"/>
    <w:rsid w:val="143534B6"/>
    <w:rsid w:val="14413B7B"/>
    <w:rsid w:val="14557889"/>
    <w:rsid w:val="14650E4D"/>
    <w:rsid w:val="147677A3"/>
    <w:rsid w:val="14AC25B0"/>
    <w:rsid w:val="14AE0BED"/>
    <w:rsid w:val="14AF303C"/>
    <w:rsid w:val="14CA7E3D"/>
    <w:rsid w:val="14E56701"/>
    <w:rsid w:val="14E867DD"/>
    <w:rsid w:val="14F8750F"/>
    <w:rsid w:val="15142B24"/>
    <w:rsid w:val="151B24AF"/>
    <w:rsid w:val="15245032"/>
    <w:rsid w:val="15327543"/>
    <w:rsid w:val="15383FDD"/>
    <w:rsid w:val="15487222"/>
    <w:rsid w:val="15510AA2"/>
    <w:rsid w:val="156508EF"/>
    <w:rsid w:val="15664159"/>
    <w:rsid w:val="157177C3"/>
    <w:rsid w:val="1581047E"/>
    <w:rsid w:val="15885061"/>
    <w:rsid w:val="15892AE3"/>
    <w:rsid w:val="159E5E55"/>
    <w:rsid w:val="15C373EE"/>
    <w:rsid w:val="15C84147"/>
    <w:rsid w:val="15D5735F"/>
    <w:rsid w:val="15ED6F84"/>
    <w:rsid w:val="15FC08F6"/>
    <w:rsid w:val="160A3089"/>
    <w:rsid w:val="161426C7"/>
    <w:rsid w:val="16155F4A"/>
    <w:rsid w:val="1646133C"/>
    <w:rsid w:val="16520962"/>
    <w:rsid w:val="168F0C53"/>
    <w:rsid w:val="16CD78F7"/>
    <w:rsid w:val="16DC0535"/>
    <w:rsid w:val="16F220B5"/>
    <w:rsid w:val="17044DC6"/>
    <w:rsid w:val="17052970"/>
    <w:rsid w:val="1706177D"/>
    <w:rsid w:val="170716B6"/>
    <w:rsid w:val="1729478D"/>
    <w:rsid w:val="172C5713"/>
    <w:rsid w:val="172D7D4A"/>
    <w:rsid w:val="1742220D"/>
    <w:rsid w:val="1748083E"/>
    <w:rsid w:val="17513CD6"/>
    <w:rsid w:val="17553F9F"/>
    <w:rsid w:val="175623CE"/>
    <w:rsid w:val="175A506F"/>
    <w:rsid w:val="17753588"/>
    <w:rsid w:val="17AB6A69"/>
    <w:rsid w:val="17BF481E"/>
    <w:rsid w:val="17D01F3A"/>
    <w:rsid w:val="17DC7DAF"/>
    <w:rsid w:val="17DE12A6"/>
    <w:rsid w:val="17EE2695"/>
    <w:rsid w:val="180E4FC5"/>
    <w:rsid w:val="18171331"/>
    <w:rsid w:val="18334857"/>
    <w:rsid w:val="185773FE"/>
    <w:rsid w:val="185A42FA"/>
    <w:rsid w:val="18640158"/>
    <w:rsid w:val="18812545"/>
    <w:rsid w:val="18884F97"/>
    <w:rsid w:val="18AE2DF4"/>
    <w:rsid w:val="18CA6F1F"/>
    <w:rsid w:val="18D57338"/>
    <w:rsid w:val="18E96032"/>
    <w:rsid w:val="18EE62E8"/>
    <w:rsid w:val="18F96461"/>
    <w:rsid w:val="190D36A9"/>
    <w:rsid w:val="19116F8E"/>
    <w:rsid w:val="19193C38"/>
    <w:rsid w:val="1946731D"/>
    <w:rsid w:val="19551A74"/>
    <w:rsid w:val="195F7D63"/>
    <w:rsid w:val="196D1144"/>
    <w:rsid w:val="197C2433"/>
    <w:rsid w:val="198E7F87"/>
    <w:rsid w:val="19933139"/>
    <w:rsid w:val="19A07C8C"/>
    <w:rsid w:val="19A52923"/>
    <w:rsid w:val="19D57461"/>
    <w:rsid w:val="19EE7D0B"/>
    <w:rsid w:val="1A122DCD"/>
    <w:rsid w:val="1A264176"/>
    <w:rsid w:val="1A273DF6"/>
    <w:rsid w:val="1A35310B"/>
    <w:rsid w:val="1A3C6319"/>
    <w:rsid w:val="1A5163D6"/>
    <w:rsid w:val="1A53548B"/>
    <w:rsid w:val="1A54768F"/>
    <w:rsid w:val="1A5A669E"/>
    <w:rsid w:val="1A5B5D2C"/>
    <w:rsid w:val="1A5C0094"/>
    <w:rsid w:val="1A601308"/>
    <w:rsid w:val="1A6102E8"/>
    <w:rsid w:val="1AA07B01"/>
    <w:rsid w:val="1AA97C06"/>
    <w:rsid w:val="1AC2714F"/>
    <w:rsid w:val="1AC56317"/>
    <w:rsid w:val="1ACD0C28"/>
    <w:rsid w:val="1AE51E4A"/>
    <w:rsid w:val="1AFA72E4"/>
    <w:rsid w:val="1B014DDE"/>
    <w:rsid w:val="1B173498"/>
    <w:rsid w:val="1B1E690C"/>
    <w:rsid w:val="1B632EF2"/>
    <w:rsid w:val="1B777BC9"/>
    <w:rsid w:val="1B990279"/>
    <w:rsid w:val="1B9921D5"/>
    <w:rsid w:val="1B9B4E1C"/>
    <w:rsid w:val="1B9C50E9"/>
    <w:rsid w:val="1BA210E4"/>
    <w:rsid w:val="1BA70665"/>
    <w:rsid w:val="1BAA5FDD"/>
    <w:rsid w:val="1BAD4429"/>
    <w:rsid w:val="1BAF6B42"/>
    <w:rsid w:val="1BB80557"/>
    <w:rsid w:val="1BC85FDF"/>
    <w:rsid w:val="1BEA0511"/>
    <w:rsid w:val="1BF733CF"/>
    <w:rsid w:val="1C0C304C"/>
    <w:rsid w:val="1C163621"/>
    <w:rsid w:val="1C294840"/>
    <w:rsid w:val="1C3E47E5"/>
    <w:rsid w:val="1C497D64"/>
    <w:rsid w:val="1C4A6090"/>
    <w:rsid w:val="1C4F4A80"/>
    <w:rsid w:val="1C571226"/>
    <w:rsid w:val="1C7530BF"/>
    <w:rsid w:val="1C7C61A8"/>
    <w:rsid w:val="1C903E39"/>
    <w:rsid w:val="1C9333CD"/>
    <w:rsid w:val="1CA553E4"/>
    <w:rsid w:val="1CA909C7"/>
    <w:rsid w:val="1CC73445"/>
    <w:rsid w:val="1CD4055C"/>
    <w:rsid w:val="1CFD2FCB"/>
    <w:rsid w:val="1D0757E8"/>
    <w:rsid w:val="1D0B195E"/>
    <w:rsid w:val="1D345316"/>
    <w:rsid w:val="1D3570D5"/>
    <w:rsid w:val="1D472A99"/>
    <w:rsid w:val="1D4E0EB2"/>
    <w:rsid w:val="1D561434"/>
    <w:rsid w:val="1D567BA2"/>
    <w:rsid w:val="1D5907B5"/>
    <w:rsid w:val="1D6406F3"/>
    <w:rsid w:val="1D7238DD"/>
    <w:rsid w:val="1D9B06D2"/>
    <w:rsid w:val="1DB553DF"/>
    <w:rsid w:val="1DB72D4D"/>
    <w:rsid w:val="1DBF1882"/>
    <w:rsid w:val="1DEB7D24"/>
    <w:rsid w:val="1E0D289C"/>
    <w:rsid w:val="1E1D0C50"/>
    <w:rsid w:val="1E225C80"/>
    <w:rsid w:val="1E3A2CFB"/>
    <w:rsid w:val="1E4719A3"/>
    <w:rsid w:val="1E4A7D3D"/>
    <w:rsid w:val="1E5B4084"/>
    <w:rsid w:val="1E7E1CA8"/>
    <w:rsid w:val="1E861706"/>
    <w:rsid w:val="1E8C78AD"/>
    <w:rsid w:val="1EA65561"/>
    <w:rsid w:val="1EAD4127"/>
    <w:rsid w:val="1EB8797A"/>
    <w:rsid w:val="1EBB2651"/>
    <w:rsid w:val="1EDD6BA8"/>
    <w:rsid w:val="1EEC719E"/>
    <w:rsid w:val="1EEE2067"/>
    <w:rsid w:val="1EFF6567"/>
    <w:rsid w:val="1F044236"/>
    <w:rsid w:val="1F14007A"/>
    <w:rsid w:val="1F25251D"/>
    <w:rsid w:val="1F2B4A85"/>
    <w:rsid w:val="1F2B5438"/>
    <w:rsid w:val="1F3B41CE"/>
    <w:rsid w:val="1F3C4CEE"/>
    <w:rsid w:val="1F3E23FF"/>
    <w:rsid w:val="1F4054A4"/>
    <w:rsid w:val="1F535E87"/>
    <w:rsid w:val="1F595467"/>
    <w:rsid w:val="1F5A46D7"/>
    <w:rsid w:val="1F5C06A1"/>
    <w:rsid w:val="1F614596"/>
    <w:rsid w:val="1F8232BD"/>
    <w:rsid w:val="1FB64177"/>
    <w:rsid w:val="1FB7272B"/>
    <w:rsid w:val="1FBB5482"/>
    <w:rsid w:val="1FD47844"/>
    <w:rsid w:val="1FDB2D6B"/>
    <w:rsid w:val="1FE94946"/>
    <w:rsid w:val="1FF70178"/>
    <w:rsid w:val="1FFD6097"/>
    <w:rsid w:val="2005639A"/>
    <w:rsid w:val="200D64BE"/>
    <w:rsid w:val="20200378"/>
    <w:rsid w:val="202E78C7"/>
    <w:rsid w:val="203332FD"/>
    <w:rsid w:val="204050CF"/>
    <w:rsid w:val="20584BED"/>
    <w:rsid w:val="205C5ACF"/>
    <w:rsid w:val="207D1E12"/>
    <w:rsid w:val="20804487"/>
    <w:rsid w:val="209634ED"/>
    <w:rsid w:val="20BA2E13"/>
    <w:rsid w:val="20C96A1A"/>
    <w:rsid w:val="20F37C9C"/>
    <w:rsid w:val="20FF7332"/>
    <w:rsid w:val="21061BA2"/>
    <w:rsid w:val="210E62C7"/>
    <w:rsid w:val="21175020"/>
    <w:rsid w:val="211E4363"/>
    <w:rsid w:val="212B1C97"/>
    <w:rsid w:val="21361FB5"/>
    <w:rsid w:val="21414DE3"/>
    <w:rsid w:val="214851A7"/>
    <w:rsid w:val="214A489B"/>
    <w:rsid w:val="214B3D89"/>
    <w:rsid w:val="21575426"/>
    <w:rsid w:val="215B41C8"/>
    <w:rsid w:val="215C1F77"/>
    <w:rsid w:val="2160575A"/>
    <w:rsid w:val="21647A1E"/>
    <w:rsid w:val="216E5AC0"/>
    <w:rsid w:val="2177769E"/>
    <w:rsid w:val="217B46FD"/>
    <w:rsid w:val="21824F16"/>
    <w:rsid w:val="21837261"/>
    <w:rsid w:val="219718E2"/>
    <w:rsid w:val="219F5BB6"/>
    <w:rsid w:val="21B45B5C"/>
    <w:rsid w:val="21D25FF2"/>
    <w:rsid w:val="21D544E9"/>
    <w:rsid w:val="21D72BA7"/>
    <w:rsid w:val="21EC2A0B"/>
    <w:rsid w:val="21F45560"/>
    <w:rsid w:val="21F70210"/>
    <w:rsid w:val="220E3CD9"/>
    <w:rsid w:val="22330628"/>
    <w:rsid w:val="223C2DAF"/>
    <w:rsid w:val="223E69B9"/>
    <w:rsid w:val="224E39C0"/>
    <w:rsid w:val="22682C5C"/>
    <w:rsid w:val="22923DE9"/>
    <w:rsid w:val="22973417"/>
    <w:rsid w:val="22A90CC0"/>
    <w:rsid w:val="22B85BE2"/>
    <w:rsid w:val="22BD3C9F"/>
    <w:rsid w:val="22C55999"/>
    <w:rsid w:val="22C629AC"/>
    <w:rsid w:val="22DA161D"/>
    <w:rsid w:val="230D3451"/>
    <w:rsid w:val="230F02A5"/>
    <w:rsid w:val="23177788"/>
    <w:rsid w:val="231F3582"/>
    <w:rsid w:val="233414D0"/>
    <w:rsid w:val="2337780D"/>
    <w:rsid w:val="233C3D0F"/>
    <w:rsid w:val="233D2450"/>
    <w:rsid w:val="234B3276"/>
    <w:rsid w:val="23635FB3"/>
    <w:rsid w:val="23773623"/>
    <w:rsid w:val="2377693D"/>
    <w:rsid w:val="239F724D"/>
    <w:rsid w:val="23EF0BE1"/>
    <w:rsid w:val="24217E53"/>
    <w:rsid w:val="24454B90"/>
    <w:rsid w:val="245109A3"/>
    <w:rsid w:val="246A08B9"/>
    <w:rsid w:val="246F37D6"/>
    <w:rsid w:val="247F64CC"/>
    <w:rsid w:val="248D420D"/>
    <w:rsid w:val="24921B27"/>
    <w:rsid w:val="24A84ED7"/>
    <w:rsid w:val="24AA521A"/>
    <w:rsid w:val="24B97631"/>
    <w:rsid w:val="24C33B21"/>
    <w:rsid w:val="24C90419"/>
    <w:rsid w:val="24DA2E85"/>
    <w:rsid w:val="24E22490"/>
    <w:rsid w:val="24EE0419"/>
    <w:rsid w:val="24F0284D"/>
    <w:rsid w:val="25090577"/>
    <w:rsid w:val="25097AB7"/>
    <w:rsid w:val="25171665"/>
    <w:rsid w:val="25202C91"/>
    <w:rsid w:val="252331A5"/>
    <w:rsid w:val="25250635"/>
    <w:rsid w:val="252F3F14"/>
    <w:rsid w:val="25331891"/>
    <w:rsid w:val="2533298B"/>
    <w:rsid w:val="25425A19"/>
    <w:rsid w:val="25494795"/>
    <w:rsid w:val="25546BE3"/>
    <w:rsid w:val="255A7CCB"/>
    <w:rsid w:val="25695674"/>
    <w:rsid w:val="25772983"/>
    <w:rsid w:val="258B2F2B"/>
    <w:rsid w:val="25AB3D1C"/>
    <w:rsid w:val="25B22B68"/>
    <w:rsid w:val="25D00044"/>
    <w:rsid w:val="25D90A1B"/>
    <w:rsid w:val="25E22192"/>
    <w:rsid w:val="25F332FF"/>
    <w:rsid w:val="260D20C5"/>
    <w:rsid w:val="26133011"/>
    <w:rsid w:val="261E7C99"/>
    <w:rsid w:val="26274BB6"/>
    <w:rsid w:val="26274D25"/>
    <w:rsid w:val="26291087"/>
    <w:rsid w:val="26356536"/>
    <w:rsid w:val="265D7094"/>
    <w:rsid w:val="267F6685"/>
    <w:rsid w:val="2688208F"/>
    <w:rsid w:val="26886044"/>
    <w:rsid w:val="268B243A"/>
    <w:rsid w:val="26902C26"/>
    <w:rsid w:val="26AA20D3"/>
    <w:rsid w:val="26F04260"/>
    <w:rsid w:val="26F81EB4"/>
    <w:rsid w:val="26FA2AFF"/>
    <w:rsid w:val="26FB2F1B"/>
    <w:rsid w:val="27083F70"/>
    <w:rsid w:val="27310B9A"/>
    <w:rsid w:val="273E1C11"/>
    <w:rsid w:val="275D2BA4"/>
    <w:rsid w:val="27671C8A"/>
    <w:rsid w:val="27815619"/>
    <w:rsid w:val="27873DD8"/>
    <w:rsid w:val="278C6F0B"/>
    <w:rsid w:val="27994F87"/>
    <w:rsid w:val="279E2679"/>
    <w:rsid w:val="27C87AA5"/>
    <w:rsid w:val="27CF1BDE"/>
    <w:rsid w:val="27D65541"/>
    <w:rsid w:val="27D842C0"/>
    <w:rsid w:val="27E219A9"/>
    <w:rsid w:val="27EC5FCE"/>
    <w:rsid w:val="27ED448C"/>
    <w:rsid w:val="27F07B94"/>
    <w:rsid w:val="27F75900"/>
    <w:rsid w:val="27F84FB1"/>
    <w:rsid w:val="2806426B"/>
    <w:rsid w:val="280855FD"/>
    <w:rsid w:val="28335AC5"/>
    <w:rsid w:val="283974FD"/>
    <w:rsid w:val="284E60F1"/>
    <w:rsid w:val="28605161"/>
    <w:rsid w:val="28671C46"/>
    <w:rsid w:val="28762ACB"/>
    <w:rsid w:val="2897657D"/>
    <w:rsid w:val="289E0FB2"/>
    <w:rsid w:val="28A52B3B"/>
    <w:rsid w:val="28AB19F4"/>
    <w:rsid w:val="28D0276F"/>
    <w:rsid w:val="28D45C09"/>
    <w:rsid w:val="28D71E0B"/>
    <w:rsid w:val="28E0749D"/>
    <w:rsid w:val="28EB7B8B"/>
    <w:rsid w:val="28F045AC"/>
    <w:rsid w:val="28F6769F"/>
    <w:rsid w:val="28F803C7"/>
    <w:rsid w:val="28F90CC0"/>
    <w:rsid w:val="28FB220F"/>
    <w:rsid w:val="293314A5"/>
    <w:rsid w:val="295264D7"/>
    <w:rsid w:val="296A3B7E"/>
    <w:rsid w:val="29757990"/>
    <w:rsid w:val="2999350D"/>
    <w:rsid w:val="299E7E78"/>
    <w:rsid w:val="29AB18EC"/>
    <w:rsid w:val="29AF20F4"/>
    <w:rsid w:val="29D60A95"/>
    <w:rsid w:val="29D948E3"/>
    <w:rsid w:val="29D94FA1"/>
    <w:rsid w:val="29DB2BB8"/>
    <w:rsid w:val="29E31604"/>
    <w:rsid w:val="29F64C07"/>
    <w:rsid w:val="29FF3178"/>
    <w:rsid w:val="2A1836DC"/>
    <w:rsid w:val="2A2D73EC"/>
    <w:rsid w:val="2A3B565F"/>
    <w:rsid w:val="2A402F3D"/>
    <w:rsid w:val="2A445A1D"/>
    <w:rsid w:val="2A4E7AA5"/>
    <w:rsid w:val="2A801927"/>
    <w:rsid w:val="2A910500"/>
    <w:rsid w:val="2AA369DD"/>
    <w:rsid w:val="2ABF11E3"/>
    <w:rsid w:val="2AC56E24"/>
    <w:rsid w:val="2AD62388"/>
    <w:rsid w:val="2ADC1861"/>
    <w:rsid w:val="2AE0160E"/>
    <w:rsid w:val="2AEE4FFE"/>
    <w:rsid w:val="2AF1331E"/>
    <w:rsid w:val="2AFA7E8C"/>
    <w:rsid w:val="2B0850EC"/>
    <w:rsid w:val="2B0A52E5"/>
    <w:rsid w:val="2B0C4DF8"/>
    <w:rsid w:val="2B104D17"/>
    <w:rsid w:val="2B1F68D5"/>
    <w:rsid w:val="2B234681"/>
    <w:rsid w:val="2B576FD6"/>
    <w:rsid w:val="2B5C5B16"/>
    <w:rsid w:val="2B821FEF"/>
    <w:rsid w:val="2B846D09"/>
    <w:rsid w:val="2B9970F1"/>
    <w:rsid w:val="2BC86EE0"/>
    <w:rsid w:val="2BCA1A4F"/>
    <w:rsid w:val="2BD0613F"/>
    <w:rsid w:val="2BD155F1"/>
    <w:rsid w:val="2BE06D07"/>
    <w:rsid w:val="2BEA6EA1"/>
    <w:rsid w:val="2BF61FAE"/>
    <w:rsid w:val="2C01033F"/>
    <w:rsid w:val="2C01607A"/>
    <w:rsid w:val="2C0A6A50"/>
    <w:rsid w:val="2C0B66D0"/>
    <w:rsid w:val="2C1738CF"/>
    <w:rsid w:val="2C3D641F"/>
    <w:rsid w:val="2C420D71"/>
    <w:rsid w:val="2C6303E3"/>
    <w:rsid w:val="2C665AE5"/>
    <w:rsid w:val="2C7176F9"/>
    <w:rsid w:val="2C7502FD"/>
    <w:rsid w:val="2C873A9B"/>
    <w:rsid w:val="2C9C0C37"/>
    <w:rsid w:val="2CB0034A"/>
    <w:rsid w:val="2CB346AC"/>
    <w:rsid w:val="2D0B7148"/>
    <w:rsid w:val="2D17770B"/>
    <w:rsid w:val="2D2D3785"/>
    <w:rsid w:val="2D335238"/>
    <w:rsid w:val="2D354DCA"/>
    <w:rsid w:val="2D451726"/>
    <w:rsid w:val="2D5D75EC"/>
    <w:rsid w:val="2D5E3AFE"/>
    <w:rsid w:val="2D6E6943"/>
    <w:rsid w:val="2D782F73"/>
    <w:rsid w:val="2D8C5833"/>
    <w:rsid w:val="2DA75F56"/>
    <w:rsid w:val="2DB70319"/>
    <w:rsid w:val="2DBF580C"/>
    <w:rsid w:val="2DC30C94"/>
    <w:rsid w:val="2DCF3138"/>
    <w:rsid w:val="2DE64CDC"/>
    <w:rsid w:val="2DEF20F0"/>
    <w:rsid w:val="2DEF2C60"/>
    <w:rsid w:val="2DFE0184"/>
    <w:rsid w:val="2E086516"/>
    <w:rsid w:val="2E106E4C"/>
    <w:rsid w:val="2E132820"/>
    <w:rsid w:val="2E3A744B"/>
    <w:rsid w:val="2E496F7F"/>
    <w:rsid w:val="2E4C211D"/>
    <w:rsid w:val="2E4D7F49"/>
    <w:rsid w:val="2E4E1129"/>
    <w:rsid w:val="2E6446EB"/>
    <w:rsid w:val="2E7F0E61"/>
    <w:rsid w:val="2E870765"/>
    <w:rsid w:val="2E8D0791"/>
    <w:rsid w:val="2E986CFE"/>
    <w:rsid w:val="2E994780"/>
    <w:rsid w:val="2E9B39A1"/>
    <w:rsid w:val="2EB156AA"/>
    <w:rsid w:val="2EB540F2"/>
    <w:rsid w:val="2ED376D4"/>
    <w:rsid w:val="2EE22E3A"/>
    <w:rsid w:val="2F047EE8"/>
    <w:rsid w:val="2F085C75"/>
    <w:rsid w:val="2F2B12A9"/>
    <w:rsid w:val="2F355C83"/>
    <w:rsid w:val="2F3E2D0F"/>
    <w:rsid w:val="2F5B483E"/>
    <w:rsid w:val="2F626907"/>
    <w:rsid w:val="2F642F4F"/>
    <w:rsid w:val="2F8128FA"/>
    <w:rsid w:val="2F821380"/>
    <w:rsid w:val="2F861F49"/>
    <w:rsid w:val="2FA76EBB"/>
    <w:rsid w:val="2FC46678"/>
    <w:rsid w:val="2FC73BC7"/>
    <w:rsid w:val="2FE311E4"/>
    <w:rsid w:val="3004586C"/>
    <w:rsid w:val="30160ACC"/>
    <w:rsid w:val="302D4B96"/>
    <w:rsid w:val="303A3EAC"/>
    <w:rsid w:val="303E28B2"/>
    <w:rsid w:val="3045081F"/>
    <w:rsid w:val="305E1622"/>
    <w:rsid w:val="307D27D9"/>
    <w:rsid w:val="30847CCA"/>
    <w:rsid w:val="30944718"/>
    <w:rsid w:val="309B5B41"/>
    <w:rsid w:val="30A438DB"/>
    <w:rsid w:val="30AD41EB"/>
    <w:rsid w:val="30C01078"/>
    <w:rsid w:val="30DF77E0"/>
    <w:rsid w:val="31014843"/>
    <w:rsid w:val="310F5189"/>
    <w:rsid w:val="312F65BE"/>
    <w:rsid w:val="3133127A"/>
    <w:rsid w:val="31353CD7"/>
    <w:rsid w:val="313666CD"/>
    <w:rsid w:val="314957B5"/>
    <w:rsid w:val="31630496"/>
    <w:rsid w:val="31634C13"/>
    <w:rsid w:val="317662E9"/>
    <w:rsid w:val="31954796"/>
    <w:rsid w:val="319F0073"/>
    <w:rsid w:val="31B9498A"/>
    <w:rsid w:val="31C80B92"/>
    <w:rsid w:val="31CA5D22"/>
    <w:rsid w:val="31CA6C1C"/>
    <w:rsid w:val="31CD20C4"/>
    <w:rsid w:val="31E848E1"/>
    <w:rsid w:val="31EB5EBC"/>
    <w:rsid w:val="32044DED"/>
    <w:rsid w:val="320C562E"/>
    <w:rsid w:val="320F2B2D"/>
    <w:rsid w:val="32314367"/>
    <w:rsid w:val="3243100D"/>
    <w:rsid w:val="32445586"/>
    <w:rsid w:val="324500CE"/>
    <w:rsid w:val="324B35D8"/>
    <w:rsid w:val="32570E4A"/>
    <w:rsid w:val="32594190"/>
    <w:rsid w:val="32604EB6"/>
    <w:rsid w:val="32654DC4"/>
    <w:rsid w:val="327A0FE8"/>
    <w:rsid w:val="3283636F"/>
    <w:rsid w:val="328D4088"/>
    <w:rsid w:val="32DD2345"/>
    <w:rsid w:val="32FE0237"/>
    <w:rsid w:val="330258B3"/>
    <w:rsid w:val="33106E3B"/>
    <w:rsid w:val="333B1697"/>
    <w:rsid w:val="33B353F8"/>
    <w:rsid w:val="33C527AD"/>
    <w:rsid w:val="33E605A3"/>
    <w:rsid w:val="33E706E6"/>
    <w:rsid w:val="33EF6CCA"/>
    <w:rsid w:val="33F7797D"/>
    <w:rsid w:val="33F86846"/>
    <w:rsid w:val="34057765"/>
    <w:rsid w:val="34080D0D"/>
    <w:rsid w:val="344062C5"/>
    <w:rsid w:val="34494F90"/>
    <w:rsid w:val="344A43D0"/>
    <w:rsid w:val="344E244F"/>
    <w:rsid w:val="34527864"/>
    <w:rsid w:val="345B2367"/>
    <w:rsid w:val="345D5B88"/>
    <w:rsid w:val="34612845"/>
    <w:rsid w:val="34710119"/>
    <w:rsid w:val="349E40E0"/>
    <w:rsid w:val="34A40A14"/>
    <w:rsid w:val="34A54544"/>
    <w:rsid w:val="34A87467"/>
    <w:rsid w:val="34B276FC"/>
    <w:rsid w:val="34CB3CAA"/>
    <w:rsid w:val="34CD5068"/>
    <w:rsid w:val="34CE2B5B"/>
    <w:rsid w:val="34E944F6"/>
    <w:rsid w:val="34E94AA0"/>
    <w:rsid w:val="34FC7CE7"/>
    <w:rsid w:val="35031A87"/>
    <w:rsid w:val="35070A28"/>
    <w:rsid w:val="35157CC7"/>
    <w:rsid w:val="35217336"/>
    <w:rsid w:val="35290A77"/>
    <w:rsid w:val="35356F10"/>
    <w:rsid w:val="354C20F6"/>
    <w:rsid w:val="354D285A"/>
    <w:rsid w:val="355C013C"/>
    <w:rsid w:val="356A601B"/>
    <w:rsid w:val="358B79C9"/>
    <w:rsid w:val="359A00B9"/>
    <w:rsid w:val="359F2D89"/>
    <w:rsid w:val="35AF316B"/>
    <w:rsid w:val="35BA0C0A"/>
    <w:rsid w:val="35C07A3B"/>
    <w:rsid w:val="35C837DE"/>
    <w:rsid w:val="35E61891"/>
    <w:rsid w:val="35FC56A1"/>
    <w:rsid w:val="360F68C0"/>
    <w:rsid w:val="36225127"/>
    <w:rsid w:val="36237E20"/>
    <w:rsid w:val="36301676"/>
    <w:rsid w:val="36471F7B"/>
    <w:rsid w:val="367620D2"/>
    <w:rsid w:val="3689139F"/>
    <w:rsid w:val="36940956"/>
    <w:rsid w:val="36C76552"/>
    <w:rsid w:val="36D27DEB"/>
    <w:rsid w:val="36D33548"/>
    <w:rsid w:val="36D608DC"/>
    <w:rsid w:val="36EE1B2E"/>
    <w:rsid w:val="36F3193B"/>
    <w:rsid w:val="36F4557F"/>
    <w:rsid w:val="36F61CCE"/>
    <w:rsid w:val="36FB77C2"/>
    <w:rsid w:val="37012B98"/>
    <w:rsid w:val="37070D11"/>
    <w:rsid w:val="37144D1B"/>
    <w:rsid w:val="373320D7"/>
    <w:rsid w:val="37333E6F"/>
    <w:rsid w:val="373F53DD"/>
    <w:rsid w:val="374F5EDD"/>
    <w:rsid w:val="37591545"/>
    <w:rsid w:val="375948AC"/>
    <w:rsid w:val="376C5D00"/>
    <w:rsid w:val="376E276D"/>
    <w:rsid w:val="37705A8E"/>
    <w:rsid w:val="37A04E93"/>
    <w:rsid w:val="37BB2876"/>
    <w:rsid w:val="37CC2606"/>
    <w:rsid w:val="37D41C80"/>
    <w:rsid w:val="37E51E4A"/>
    <w:rsid w:val="37EA0A17"/>
    <w:rsid w:val="37FE3B6D"/>
    <w:rsid w:val="380A7603"/>
    <w:rsid w:val="380B0BB2"/>
    <w:rsid w:val="380D29D1"/>
    <w:rsid w:val="380D32F1"/>
    <w:rsid w:val="380D5D0D"/>
    <w:rsid w:val="381A1DE7"/>
    <w:rsid w:val="382F2C1E"/>
    <w:rsid w:val="386947E2"/>
    <w:rsid w:val="386E76A4"/>
    <w:rsid w:val="388073F3"/>
    <w:rsid w:val="38A47DD9"/>
    <w:rsid w:val="38C757B4"/>
    <w:rsid w:val="38D81226"/>
    <w:rsid w:val="38D8487C"/>
    <w:rsid w:val="39194758"/>
    <w:rsid w:val="391A77BD"/>
    <w:rsid w:val="394B37F2"/>
    <w:rsid w:val="39581820"/>
    <w:rsid w:val="395C508A"/>
    <w:rsid w:val="396665B7"/>
    <w:rsid w:val="39947487"/>
    <w:rsid w:val="399F51B0"/>
    <w:rsid w:val="39BB2EF1"/>
    <w:rsid w:val="39BB7640"/>
    <w:rsid w:val="39C1124F"/>
    <w:rsid w:val="39C75357"/>
    <w:rsid w:val="39D3500A"/>
    <w:rsid w:val="39D96419"/>
    <w:rsid w:val="39DA4378"/>
    <w:rsid w:val="39E55169"/>
    <w:rsid w:val="39E84553"/>
    <w:rsid w:val="39F37AAD"/>
    <w:rsid w:val="3A1423C7"/>
    <w:rsid w:val="3A1B4DE1"/>
    <w:rsid w:val="3A3E4729"/>
    <w:rsid w:val="3A4F216D"/>
    <w:rsid w:val="3A675D63"/>
    <w:rsid w:val="3A860FB3"/>
    <w:rsid w:val="3A9F7948"/>
    <w:rsid w:val="3AA02CE4"/>
    <w:rsid w:val="3AA628ED"/>
    <w:rsid w:val="3ACD2686"/>
    <w:rsid w:val="3ACE1617"/>
    <w:rsid w:val="3AD31906"/>
    <w:rsid w:val="3AD45894"/>
    <w:rsid w:val="3AF2031D"/>
    <w:rsid w:val="3AF94B76"/>
    <w:rsid w:val="3AFC3DAF"/>
    <w:rsid w:val="3AFD1BC4"/>
    <w:rsid w:val="3B064E4F"/>
    <w:rsid w:val="3B1D3A24"/>
    <w:rsid w:val="3B23240C"/>
    <w:rsid w:val="3B7A31A7"/>
    <w:rsid w:val="3B8562F1"/>
    <w:rsid w:val="3B9001C6"/>
    <w:rsid w:val="3B915C47"/>
    <w:rsid w:val="3B9A744D"/>
    <w:rsid w:val="3BC25680"/>
    <w:rsid w:val="3BCB5FFF"/>
    <w:rsid w:val="3BE315D0"/>
    <w:rsid w:val="3C1E76C4"/>
    <w:rsid w:val="3C4B0ED5"/>
    <w:rsid w:val="3C564E2C"/>
    <w:rsid w:val="3C5B0B93"/>
    <w:rsid w:val="3C6834F3"/>
    <w:rsid w:val="3C7663A3"/>
    <w:rsid w:val="3C7C10C8"/>
    <w:rsid w:val="3C9A0E2A"/>
    <w:rsid w:val="3CA53DD8"/>
    <w:rsid w:val="3CB37024"/>
    <w:rsid w:val="3CBA69AE"/>
    <w:rsid w:val="3CBD75BF"/>
    <w:rsid w:val="3CC33BCC"/>
    <w:rsid w:val="3CD641A1"/>
    <w:rsid w:val="3CD749CE"/>
    <w:rsid w:val="3CE2490A"/>
    <w:rsid w:val="3CEA648A"/>
    <w:rsid w:val="3CED5F04"/>
    <w:rsid w:val="3CFB3E23"/>
    <w:rsid w:val="3CFF2722"/>
    <w:rsid w:val="3D06102C"/>
    <w:rsid w:val="3D1502D9"/>
    <w:rsid w:val="3D1A0A75"/>
    <w:rsid w:val="3D22095C"/>
    <w:rsid w:val="3D2A143A"/>
    <w:rsid w:val="3D2D2F86"/>
    <w:rsid w:val="3D555673"/>
    <w:rsid w:val="3D5657CC"/>
    <w:rsid w:val="3D5D2E26"/>
    <w:rsid w:val="3D712DE8"/>
    <w:rsid w:val="3D764B63"/>
    <w:rsid w:val="3D8561AB"/>
    <w:rsid w:val="3D876DDA"/>
    <w:rsid w:val="3D901BCD"/>
    <w:rsid w:val="3DA80577"/>
    <w:rsid w:val="3DB03A43"/>
    <w:rsid w:val="3DB52FFB"/>
    <w:rsid w:val="3DB932B8"/>
    <w:rsid w:val="3DDF3C84"/>
    <w:rsid w:val="3DE6611C"/>
    <w:rsid w:val="3DF55B8D"/>
    <w:rsid w:val="3DF740D2"/>
    <w:rsid w:val="3DFF783E"/>
    <w:rsid w:val="3E1A7FC3"/>
    <w:rsid w:val="3E1C3D75"/>
    <w:rsid w:val="3E2942BE"/>
    <w:rsid w:val="3E300439"/>
    <w:rsid w:val="3E320B89"/>
    <w:rsid w:val="3E3906BC"/>
    <w:rsid w:val="3E392C93"/>
    <w:rsid w:val="3E594070"/>
    <w:rsid w:val="3E6B4177"/>
    <w:rsid w:val="3E75521D"/>
    <w:rsid w:val="3E8412E9"/>
    <w:rsid w:val="3E9B4946"/>
    <w:rsid w:val="3EAA3ADC"/>
    <w:rsid w:val="3EDD4965"/>
    <w:rsid w:val="3EE10368"/>
    <w:rsid w:val="3EE1644A"/>
    <w:rsid w:val="3EE5603F"/>
    <w:rsid w:val="3EF01E51"/>
    <w:rsid w:val="3EF13BC7"/>
    <w:rsid w:val="3EF178D3"/>
    <w:rsid w:val="3EF53D00"/>
    <w:rsid w:val="3EFC7E62"/>
    <w:rsid w:val="3F0C4369"/>
    <w:rsid w:val="3F281FAB"/>
    <w:rsid w:val="3F2F53AA"/>
    <w:rsid w:val="3F3B0FCC"/>
    <w:rsid w:val="3F651E10"/>
    <w:rsid w:val="3F6A5EE0"/>
    <w:rsid w:val="3F7D4699"/>
    <w:rsid w:val="3F9226AD"/>
    <w:rsid w:val="3F9E326F"/>
    <w:rsid w:val="3FB83516"/>
    <w:rsid w:val="3FC221AA"/>
    <w:rsid w:val="3FD50D82"/>
    <w:rsid w:val="3FDA0910"/>
    <w:rsid w:val="401B068A"/>
    <w:rsid w:val="402417C8"/>
    <w:rsid w:val="4026664B"/>
    <w:rsid w:val="40372073"/>
    <w:rsid w:val="404A296D"/>
    <w:rsid w:val="404A73F1"/>
    <w:rsid w:val="404F52A8"/>
    <w:rsid w:val="405D626E"/>
    <w:rsid w:val="40B82715"/>
    <w:rsid w:val="40C2573C"/>
    <w:rsid w:val="40C90C4C"/>
    <w:rsid w:val="40D34024"/>
    <w:rsid w:val="40ED3BAF"/>
    <w:rsid w:val="40F94CAE"/>
    <w:rsid w:val="412912D7"/>
    <w:rsid w:val="41313685"/>
    <w:rsid w:val="41366B89"/>
    <w:rsid w:val="4137558E"/>
    <w:rsid w:val="4161520A"/>
    <w:rsid w:val="41771599"/>
    <w:rsid w:val="41874BF7"/>
    <w:rsid w:val="418F0A21"/>
    <w:rsid w:val="41A6638B"/>
    <w:rsid w:val="41AF06D0"/>
    <w:rsid w:val="41B13BD3"/>
    <w:rsid w:val="41E65FA8"/>
    <w:rsid w:val="420558C2"/>
    <w:rsid w:val="42057B28"/>
    <w:rsid w:val="42066023"/>
    <w:rsid w:val="421F7A8A"/>
    <w:rsid w:val="42283FBB"/>
    <w:rsid w:val="42360A3B"/>
    <w:rsid w:val="425F02AA"/>
    <w:rsid w:val="42880654"/>
    <w:rsid w:val="428D14EF"/>
    <w:rsid w:val="429803FC"/>
    <w:rsid w:val="42A65AF0"/>
    <w:rsid w:val="42B51E33"/>
    <w:rsid w:val="42FF71DC"/>
    <w:rsid w:val="43083B97"/>
    <w:rsid w:val="431C6058"/>
    <w:rsid w:val="432B3FFF"/>
    <w:rsid w:val="432F1E46"/>
    <w:rsid w:val="434D155D"/>
    <w:rsid w:val="43511A6A"/>
    <w:rsid w:val="435143B3"/>
    <w:rsid w:val="435E53D9"/>
    <w:rsid w:val="43625B18"/>
    <w:rsid w:val="438607EE"/>
    <w:rsid w:val="43864445"/>
    <w:rsid w:val="438C7FE1"/>
    <w:rsid w:val="439072B6"/>
    <w:rsid w:val="439240E9"/>
    <w:rsid w:val="43B077D5"/>
    <w:rsid w:val="43BD5DE5"/>
    <w:rsid w:val="43C967C1"/>
    <w:rsid w:val="43D65E39"/>
    <w:rsid w:val="43E647D4"/>
    <w:rsid w:val="43E91A14"/>
    <w:rsid w:val="43EB255D"/>
    <w:rsid w:val="43ED6D81"/>
    <w:rsid w:val="43FC5D17"/>
    <w:rsid w:val="440B437C"/>
    <w:rsid w:val="441111D7"/>
    <w:rsid w:val="44181DC4"/>
    <w:rsid w:val="44315BD2"/>
    <w:rsid w:val="444D54BA"/>
    <w:rsid w:val="446B764F"/>
    <w:rsid w:val="44786B9A"/>
    <w:rsid w:val="449B12BC"/>
    <w:rsid w:val="449D508C"/>
    <w:rsid w:val="44B36E39"/>
    <w:rsid w:val="44D6347B"/>
    <w:rsid w:val="44DF3B1C"/>
    <w:rsid w:val="44EC7013"/>
    <w:rsid w:val="450B3AD6"/>
    <w:rsid w:val="451F73E2"/>
    <w:rsid w:val="452C3E8A"/>
    <w:rsid w:val="453646A9"/>
    <w:rsid w:val="453749C4"/>
    <w:rsid w:val="45427AA4"/>
    <w:rsid w:val="45564CA5"/>
    <w:rsid w:val="455B6233"/>
    <w:rsid w:val="456A6A48"/>
    <w:rsid w:val="458755E2"/>
    <w:rsid w:val="458C7CEE"/>
    <w:rsid w:val="45A24E61"/>
    <w:rsid w:val="45A602D1"/>
    <w:rsid w:val="45C50B85"/>
    <w:rsid w:val="45CD7EFC"/>
    <w:rsid w:val="45D434E7"/>
    <w:rsid w:val="45E81422"/>
    <w:rsid w:val="45F718E3"/>
    <w:rsid w:val="45FB094E"/>
    <w:rsid w:val="46035E4B"/>
    <w:rsid w:val="46097202"/>
    <w:rsid w:val="46153E08"/>
    <w:rsid w:val="461A028F"/>
    <w:rsid w:val="462A2C05"/>
    <w:rsid w:val="462D06BA"/>
    <w:rsid w:val="463E4FCC"/>
    <w:rsid w:val="4676381B"/>
    <w:rsid w:val="467744FD"/>
    <w:rsid w:val="46A9603F"/>
    <w:rsid w:val="46AF30F0"/>
    <w:rsid w:val="46B2224B"/>
    <w:rsid w:val="46D17DBE"/>
    <w:rsid w:val="470258AE"/>
    <w:rsid w:val="4712396A"/>
    <w:rsid w:val="47140188"/>
    <w:rsid w:val="472B4EE8"/>
    <w:rsid w:val="474038F5"/>
    <w:rsid w:val="474A0C45"/>
    <w:rsid w:val="474D1906"/>
    <w:rsid w:val="47605D7C"/>
    <w:rsid w:val="47764E9F"/>
    <w:rsid w:val="478902C6"/>
    <w:rsid w:val="47905C32"/>
    <w:rsid w:val="479A1B89"/>
    <w:rsid w:val="47B32E9C"/>
    <w:rsid w:val="47C33B59"/>
    <w:rsid w:val="47E44403"/>
    <w:rsid w:val="47E51A1D"/>
    <w:rsid w:val="47FC6227"/>
    <w:rsid w:val="48045ECF"/>
    <w:rsid w:val="480A0E7F"/>
    <w:rsid w:val="4819263A"/>
    <w:rsid w:val="48212AE9"/>
    <w:rsid w:val="483C7010"/>
    <w:rsid w:val="483D47E8"/>
    <w:rsid w:val="484D2F56"/>
    <w:rsid w:val="486C4CE7"/>
    <w:rsid w:val="489713C3"/>
    <w:rsid w:val="48A262B1"/>
    <w:rsid w:val="48B459D5"/>
    <w:rsid w:val="48C301EE"/>
    <w:rsid w:val="48CB1CC0"/>
    <w:rsid w:val="48E32521"/>
    <w:rsid w:val="49163580"/>
    <w:rsid w:val="493630B4"/>
    <w:rsid w:val="494D0BBC"/>
    <w:rsid w:val="4953205B"/>
    <w:rsid w:val="49582843"/>
    <w:rsid w:val="49987553"/>
    <w:rsid w:val="49987657"/>
    <w:rsid w:val="49A418F2"/>
    <w:rsid w:val="49B71D80"/>
    <w:rsid w:val="49C8100A"/>
    <w:rsid w:val="49D76E8A"/>
    <w:rsid w:val="49FF2037"/>
    <w:rsid w:val="4A1930E3"/>
    <w:rsid w:val="4A252C0D"/>
    <w:rsid w:val="4A270A04"/>
    <w:rsid w:val="4A2E5242"/>
    <w:rsid w:val="4A302632"/>
    <w:rsid w:val="4A35264E"/>
    <w:rsid w:val="4A6D079D"/>
    <w:rsid w:val="4A6E3AAD"/>
    <w:rsid w:val="4A6F5CAB"/>
    <w:rsid w:val="4A6F608D"/>
    <w:rsid w:val="4A714A31"/>
    <w:rsid w:val="4A876BD5"/>
    <w:rsid w:val="4A880DD3"/>
    <w:rsid w:val="4A885CE1"/>
    <w:rsid w:val="4A9B1CEA"/>
    <w:rsid w:val="4A9B7DF4"/>
    <w:rsid w:val="4AB961F9"/>
    <w:rsid w:val="4ABE4F66"/>
    <w:rsid w:val="4ADB4E28"/>
    <w:rsid w:val="4AEB0E78"/>
    <w:rsid w:val="4AF75899"/>
    <w:rsid w:val="4B0372DA"/>
    <w:rsid w:val="4B0B13AD"/>
    <w:rsid w:val="4B0E4911"/>
    <w:rsid w:val="4B0F28E0"/>
    <w:rsid w:val="4B211352"/>
    <w:rsid w:val="4B234FA7"/>
    <w:rsid w:val="4B272D9E"/>
    <w:rsid w:val="4B333D7A"/>
    <w:rsid w:val="4B4E7897"/>
    <w:rsid w:val="4B5523AC"/>
    <w:rsid w:val="4B71753F"/>
    <w:rsid w:val="4B804BEF"/>
    <w:rsid w:val="4B917087"/>
    <w:rsid w:val="4BA7122B"/>
    <w:rsid w:val="4BC04B2A"/>
    <w:rsid w:val="4BC74E08"/>
    <w:rsid w:val="4BD07997"/>
    <w:rsid w:val="4BE3005B"/>
    <w:rsid w:val="4BF91035"/>
    <w:rsid w:val="4BFA0F7F"/>
    <w:rsid w:val="4C06151E"/>
    <w:rsid w:val="4C275355"/>
    <w:rsid w:val="4C293D83"/>
    <w:rsid w:val="4C420CDE"/>
    <w:rsid w:val="4C4920B9"/>
    <w:rsid w:val="4C5D443A"/>
    <w:rsid w:val="4C6F66E5"/>
    <w:rsid w:val="4C730675"/>
    <w:rsid w:val="4C893083"/>
    <w:rsid w:val="4C942881"/>
    <w:rsid w:val="4C943432"/>
    <w:rsid w:val="4CB53967"/>
    <w:rsid w:val="4CD020F9"/>
    <w:rsid w:val="4CE20FB3"/>
    <w:rsid w:val="4CE87639"/>
    <w:rsid w:val="4CFC145C"/>
    <w:rsid w:val="4D176FE7"/>
    <w:rsid w:val="4D23781E"/>
    <w:rsid w:val="4D2F7723"/>
    <w:rsid w:val="4D406BD1"/>
    <w:rsid w:val="4D605A45"/>
    <w:rsid w:val="4D6D4E0F"/>
    <w:rsid w:val="4D796F28"/>
    <w:rsid w:val="4D7A37A4"/>
    <w:rsid w:val="4D8E0CB9"/>
    <w:rsid w:val="4DAC59F8"/>
    <w:rsid w:val="4DB30B46"/>
    <w:rsid w:val="4DD74688"/>
    <w:rsid w:val="4DE72443"/>
    <w:rsid w:val="4DF521AC"/>
    <w:rsid w:val="4E1061A1"/>
    <w:rsid w:val="4E1F5DA5"/>
    <w:rsid w:val="4E247171"/>
    <w:rsid w:val="4E2F4D0C"/>
    <w:rsid w:val="4E3C2E77"/>
    <w:rsid w:val="4E5079C5"/>
    <w:rsid w:val="4E623BD3"/>
    <w:rsid w:val="4E710848"/>
    <w:rsid w:val="4E993495"/>
    <w:rsid w:val="4EB0766E"/>
    <w:rsid w:val="4EB2058C"/>
    <w:rsid w:val="4EC6244D"/>
    <w:rsid w:val="4EEF1B44"/>
    <w:rsid w:val="4F0A27C3"/>
    <w:rsid w:val="4F0B63DC"/>
    <w:rsid w:val="4F1D369F"/>
    <w:rsid w:val="4F290247"/>
    <w:rsid w:val="4F311AFC"/>
    <w:rsid w:val="4F332C0A"/>
    <w:rsid w:val="4F433DC8"/>
    <w:rsid w:val="4F623A1F"/>
    <w:rsid w:val="4F905399"/>
    <w:rsid w:val="4F907343"/>
    <w:rsid w:val="4FA14EEC"/>
    <w:rsid w:val="4FA84227"/>
    <w:rsid w:val="4FB06235"/>
    <w:rsid w:val="4FC50CEB"/>
    <w:rsid w:val="4FDC039B"/>
    <w:rsid w:val="4FE223EE"/>
    <w:rsid w:val="4FE9233D"/>
    <w:rsid w:val="500C4CE2"/>
    <w:rsid w:val="501F59A7"/>
    <w:rsid w:val="5026588C"/>
    <w:rsid w:val="502B7796"/>
    <w:rsid w:val="50334BA2"/>
    <w:rsid w:val="503D3F59"/>
    <w:rsid w:val="505D7A63"/>
    <w:rsid w:val="50A6221C"/>
    <w:rsid w:val="50AC4C20"/>
    <w:rsid w:val="50B61B8B"/>
    <w:rsid w:val="50CF1225"/>
    <w:rsid w:val="50D379A3"/>
    <w:rsid w:val="50D942FA"/>
    <w:rsid w:val="50DF4C67"/>
    <w:rsid w:val="50E00158"/>
    <w:rsid w:val="50E334B9"/>
    <w:rsid w:val="50E8434B"/>
    <w:rsid w:val="50F0291C"/>
    <w:rsid w:val="51121CFE"/>
    <w:rsid w:val="51183F1B"/>
    <w:rsid w:val="51286AE9"/>
    <w:rsid w:val="51322546"/>
    <w:rsid w:val="51513CF5"/>
    <w:rsid w:val="516C5BB7"/>
    <w:rsid w:val="51881606"/>
    <w:rsid w:val="518E2820"/>
    <w:rsid w:val="51937C52"/>
    <w:rsid w:val="51976B19"/>
    <w:rsid w:val="51AC5137"/>
    <w:rsid w:val="51AF4F86"/>
    <w:rsid w:val="51B463DB"/>
    <w:rsid w:val="51B53A19"/>
    <w:rsid w:val="51C979DD"/>
    <w:rsid w:val="51EF28F9"/>
    <w:rsid w:val="51FB6B35"/>
    <w:rsid w:val="52170DFD"/>
    <w:rsid w:val="523D42DD"/>
    <w:rsid w:val="523F3969"/>
    <w:rsid w:val="524013FF"/>
    <w:rsid w:val="5249428D"/>
    <w:rsid w:val="52500BCD"/>
    <w:rsid w:val="525A559E"/>
    <w:rsid w:val="52697598"/>
    <w:rsid w:val="52853336"/>
    <w:rsid w:val="52881D50"/>
    <w:rsid w:val="529B3EC4"/>
    <w:rsid w:val="529F7175"/>
    <w:rsid w:val="52AE52B6"/>
    <w:rsid w:val="52D42B97"/>
    <w:rsid w:val="52E07FB1"/>
    <w:rsid w:val="52EE339D"/>
    <w:rsid w:val="5306292A"/>
    <w:rsid w:val="530822C8"/>
    <w:rsid w:val="530E2D51"/>
    <w:rsid w:val="531F2B57"/>
    <w:rsid w:val="53283E1B"/>
    <w:rsid w:val="536F39E6"/>
    <w:rsid w:val="53707DDE"/>
    <w:rsid w:val="538B5189"/>
    <w:rsid w:val="53925D40"/>
    <w:rsid w:val="53AD3AFA"/>
    <w:rsid w:val="53E8652B"/>
    <w:rsid w:val="53EB486A"/>
    <w:rsid w:val="53EE67E9"/>
    <w:rsid w:val="53FD1C03"/>
    <w:rsid w:val="540817F6"/>
    <w:rsid w:val="540A1D57"/>
    <w:rsid w:val="541170FC"/>
    <w:rsid w:val="543865A6"/>
    <w:rsid w:val="543B3FAB"/>
    <w:rsid w:val="543F413B"/>
    <w:rsid w:val="54591CDE"/>
    <w:rsid w:val="54625354"/>
    <w:rsid w:val="546803B2"/>
    <w:rsid w:val="547B43F6"/>
    <w:rsid w:val="547F3EAC"/>
    <w:rsid w:val="54A12E7B"/>
    <w:rsid w:val="54A72E72"/>
    <w:rsid w:val="54C52422"/>
    <w:rsid w:val="54CD5B29"/>
    <w:rsid w:val="54D06235"/>
    <w:rsid w:val="54E83276"/>
    <w:rsid w:val="551534A6"/>
    <w:rsid w:val="554219EC"/>
    <w:rsid w:val="55942252"/>
    <w:rsid w:val="55AB5B98"/>
    <w:rsid w:val="55AF4167"/>
    <w:rsid w:val="55BE59B9"/>
    <w:rsid w:val="55D4424E"/>
    <w:rsid w:val="55DD2EEF"/>
    <w:rsid w:val="55E761AC"/>
    <w:rsid w:val="55EC1E85"/>
    <w:rsid w:val="55EC2897"/>
    <w:rsid w:val="56063430"/>
    <w:rsid w:val="5610333E"/>
    <w:rsid w:val="562035D8"/>
    <w:rsid w:val="56215914"/>
    <w:rsid w:val="56291477"/>
    <w:rsid w:val="56473C9D"/>
    <w:rsid w:val="5652511E"/>
    <w:rsid w:val="56543A0D"/>
    <w:rsid w:val="566A0555"/>
    <w:rsid w:val="566B50BC"/>
    <w:rsid w:val="566E03A2"/>
    <w:rsid w:val="56775832"/>
    <w:rsid w:val="56AD7886"/>
    <w:rsid w:val="56C26112"/>
    <w:rsid w:val="56C31EE8"/>
    <w:rsid w:val="56C440E6"/>
    <w:rsid w:val="56E11498"/>
    <w:rsid w:val="56F37D3E"/>
    <w:rsid w:val="56F473C0"/>
    <w:rsid w:val="56FF3200"/>
    <w:rsid w:val="57093DD5"/>
    <w:rsid w:val="570B6550"/>
    <w:rsid w:val="571C6075"/>
    <w:rsid w:val="572F64A8"/>
    <w:rsid w:val="57522A51"/>
    <w:rsid w:val="57653974"/>
    <w:rsid w:val="578164CA"/>
    <w:rsid w:val="57842A5C"/>
    <w:rsid w:val="578871B0"/>
    <w:rsid w:val="57903B49"/>
    <w:rsid w:val="57A4174D"/>
    <w:rsid w:val="57BA117B"/>
    <w:rsid w:val="57D41D25"/>
    <w:rsid w:val="57DD2307"/>
    <w:rsid w:val="57DE28CC"/>
    <w:rsid w:val="57E31EB4"/>
    <w:rsid w:val="57F325DA"/>
    <w:rsid w:val="580716CC"/>
    <w:rsid w:val="58220A26"/>
    <w:rsid w:val="5825223B"/>
    <w:rsid w:val="58254A6F"/>
    <w:rsid w:val="582662AC"/>
    <w:rsid w:val="582A1D19"/>
    <w:rsid w:val="582C00E8"/>
    <w:rsid w:val="5844212F"/>
    <w:rsid w:val="58510290"/>
    <w:rsid w:val="58743E2D"/>
    <w:rsid w:val="587518AF"/>
    <w:rsid w:val="589E6F58"/>
    <w:rsid w:val="58A96BA9"/>
    <w:rsid w:val="58B30206"/>
    <w:rsid w:val="58B91125"/>
    <w:rsid w:val="58C64CF3"/>
    <w:rsid w:val="58CB3B78"/>
    <w:rsid w:val="58D54141"/>
    <w:rsid w:val="58DC725C"/>
    <w:rsid w:val="58FB5992"/>
    <w:rsid w:val="59232C0B"/>
    <w:rsid w:val="5936365C"/>
    <w:rsid w:val="594D06B7"/>
    <w:rsid w:val="595953A4"/>
    <w:rsid w:val="598B3EF7"/>
    <w:rsid w:val="59967408"/>
    <w:rsid w:val="59972BFB"/>
    <w:rsid w:val="59F66527"/>
    <w:rsid w:val="5A361544"/>
    <w:rsid w:val="5A441CD8"/>
    <w:rsid w:val="5A507EBB"/>
    <w:rsid w:val="5A6C732C"/>
    <w:rsid w:val="5A6D76C0"/>
    <w:rsid w:val="5A7124E5"/>
    <w:rsid w:val="5A723A0D"/>
    <w:rsid w:val="5A743572"/>
    <w:rsid w:val="5A754630"/>
    <w:rsid w:val="5A762255"/>
    <w:rsid w:val="5A7B4B89"/>
    <w:rsid w:val="5A82610B"/>
    <w:rsid w:val="5A8A02A1"/>
    <w:rsid w:val="5A8B4D93"/>
    <w:rsid w:val="5A9D621A"/>
    <w:rsid w:val="5AA62E48"/>
    <w:rsid w:val="5AB16C5B"/>
    <w:rsid w:val="5AB17106"/>
    <w:rsid w:val="5AB55661"/>
    <w:rsid w:val="5AB865E5"/>
    <w:rsid w:val="5AC07A83"/>
    <w:rsid w:val="5ACF40CD"/>
    <w:rsid w:val="5AD9504A"/>
    <w:rsid w:val="5B0856E7"/>
    <w:rsid w:val="5B1521C4"/>
    <w:rsid w:val="5B22788A"/>
    <w:rsid w:val="5B266C19"/>
    <w:rsid w:val="5B2A30A1"/>
    <w:rsid w:val="5B41697B"/>
    <w:rsid w:val="5B417443"/>
    <w:rsid w:val="5B5309E2"/>
    <w:rsid w:val="5B6E700E"/>
    <w:rsid w:val="5B707739"/>
    <w:rsid w:val="5B707F92"/>
    <w:rsid w:val="5B7A2057"/>
    <w:rsid w:val="5B7D1CC3"/>
    <w:rsid w:val="5B890824"/>
    <w:rsid w:val="5BB8191F"/>
    <w:rsid w:val="5BBD0D47"/>
    <w:rsid w:val="5BCE4EA4"/>
    <w:rsid w:val="5BD637EC"/>
    <w:rsid w:val="5BDE5A43"/>
    <w:rsid w:val="5BEB7F82"/>
    <w:rsid w:val="5C086316"/>
    <w:rsid w:val="5C1742D4"/>
    <w:rsid w:val="5C1B7F5F"/>
    <w:rsid w:val="5C1D5966"/>
    <w:rsid w:val="5C34166A"/>
    <w:rsid w:val="5C46622D"/>
    <w:rsid w:val="5C4A36B7"/>
    <w:rsid w:val="5CAA0F94"/>
    <w:rsid w:val="5CAF0C9F"/>
    <w:rsid w:val="5CBE34B8"/>
    <w:rsid w:val="5CE536CF"/>
    <w:rsid w:val="5CEE4FB3"/>
    <w:rsid w:val="5D1154C0"/>
    <w:rsid w:val="5D194E1F"/>
    <w:rsid w:val="5D230368"/>
    <w:rsid w:val="5D255730"/>
    <w:rsid w:val="5D2E6B06"/>
    <w:rsid w:val="5D351BC2"/>
    <w:rsid w:val="5D5667E0"/>
    <w:rsid w:val="5D580881"/>
    <w:rsid w:val="5D814F78"/>
    <w:rsid w:val="5D8F7302"/>
    <w:rsid w:val="5DA13534"/>
    <w:rsid w:val="5DB217C6"/>
    <w:rsid w:val="5DB37F53"/>
    <w:rsid w:val="5DB858CE"/>
    <w:rsid w:val="5DCB0E01"/>
    <w:rsid w:val="5DCB56EC"/>
    <w:rsid w:val="5DE7641D"/>
    <w:rsid w:val="5E0F62DC"/>
    <w:rsid w:val="5E1463C6"/>
    <w:rsid w:val="5E1B3CF6"/>
    <w:rsid w:val="5E3E4C2D"/>
    <w:rsid w:val="5E4B3F43"/>
    <w:rsid w:val="5E4B7A1D"/>
    <w:rsid w:val="5E50050F"/>
    <w:rsid w:val="5E573F03"/>
    <w:rsid w:val="5E583259"/>
    <w:rsid w:val="5E68591D"/>
    <w:rsid w:val="5E6A785A"/>
    <w:rsid w:val="5E6D40F8"/>
    <w:rsid w:val="5E7113FB"/>
    <w:rsid w:val="5E8B3ED5"/>
    <w:rsid w:val="5E992D71"/>
    <w:rsid w:val="5E9D4C47"/>
    <w:rsid w:val="5EA5259F"/>
    <w:rsid w:val="5EA80A59"/>
    <w:rsid w:val="5EB92998"/>
    <w:rsid w:val="5EDA0D81"/>
    <w:rsid w:val="5EEE06A0"/>
    <w:rsid w:val="5EF64E73"/>
    <w:rsid w:val="5EFB1793"/>
    <w:rsid w:val="5F0936DE"/>
    <w:rsid w:val="5F0E6419"/>
    <w:rsid w:val="5F145B8A"/>
    <w:rsid w:val="5F342B4B"/>
    <w:rsid w:val="5F3C7AD8"/>
    <w:rsid w:val="5F574DB8"/>
    <w:rsid w:val="5F7A54F6"/>
    <w:rsid w:val="5F7D16C2"/>
    <w:rsid w:val="5F892553"/>
    <w:rsid w:val="5F8A6E4E"/>
    <w:rsid w:val="5F901FF5"/>
    <w:rsid w:val="5F932D9C"/>
    <w:rsid w:val="5F9B68D2"/>
    <w:rsid w:val="5FAE5D89"/>
    <w:rsid w:val="5FB75393"/>
    <w:rsid w:val="5FBE2405"/>
    <w:rsid w:val="5FE926EA"/>
    <w:rsid w:val="5FF63F7F"/>
    <w:rsid w:val="5FFC3909"/>
    <w:rsid w:val="60040D16"/>
    <w:rsid w:val="6046706E"/>
    <w:rsid w:val="60677354"/>
    <w:rsid w:val="606B1CE8"/>
    <w:rsid w:val="606D4EC2"/>
    <w:rsid w:val="60810482"/>
    <w:rsid w:val="609F0838"/>
    <w:rsid w:val="60A324F0"/>
    <w:rsid w:val="60A859A2"/>
    <w:rsid w:val="60A956D9"/>
    <w:rsid w:val="60AB29AA"/>
    <w:rsid w:val="60B2418B"/>
    <w:rsid w:val="60C06489"/>
    <w:rsid w:val="60E518B0"/>
    <w:rsid w:val="60FE69AF"/>
    <w:rsid w:val="61292196"/>
    <w:rsid w:val="612E30FB"/>
    <w:rsid w:val="6138492E"/>
    <w:rsid w:val="613F521A"/>
    <w:rsid w:val="614668AF"/>
    <w:rsid w:val="6149253E"/>
    <w:rsid w:val="614C6AAF"/>
    <w:rsid w:val="615B47A6"/>
    <w:rsid w:val="6187560F"/>
    <w:rsid w:val="61A6014E"/>
    <w:rsid w:val="61BF0FEC"/>
    <w:rsid w:val="61D42873"/>
    <w:rsid w:val="61D63921"/>
    <w:rsid w:val="61E07B71"/>
    <w:rsid w:val="61EA6C19"/>
    <w:rsid w:val="61FF062A"/>
    <w:rsid w:val="6208538C"/>
    <w:rsid w:val="62270D05"/>
    <w:rsid w:val="62461BF2"/>
    <w:rsid w:val="625D0EEC"/>
    <w:rsid w:val="62710E24"/>
    <w:rsid w:val="62853940"/>
    <w:rsid w:val="629D7EE8"/>
    <w:rsid w:val="62A86D6B"/>
    <w:rsid w:val="62AC2526"/>
    <w:rsid w:val="62E4334D"/>
    <w:rsid w:val="62E7507D"/>
    <w:rsid w:val="62F67597"/>
    <w:rsid w:val="630B100E"/>
    <w:rsid w:val="630C34D0"/>
    <w:rsid w:val="630F1C12"/>
    <w:rsid w:val="63107694"/>
    <w:rsid w:val="631A3D47"/>
    <w:rsid w:val="631D7EF7"/>
    <w:rsid w:val="63202703"/>
    <w:rsid w:val="632108A8"/>
    <w:rsid w:val="632366B5"/>
    <w:rsid w:val="63540FD1"/>
    <w:rsid w:val="635B3796"/>
    <w:rsid w:val="63642C78"/>
    <w:rsid w:val="636F7889"/>
    <w:rsid w:val="63783BC0"/>
    <w:rsid w:val="638E7F62"/>
    <w:rsid w:val="639578ED"/>
    <w:rsid w:val="63A36BE5"/>
    <w:rsid w:val="63B31E42"/>
    <w:rsid w:val="63E279EC"/>
    <w:rsid w:val="63E5033D"/>
    <w:rsid w:val="63F75B8A"/>
    <w:rsid w:val="641D6634"/>
    <w:rsid w:val="64203CB4"/>
    <w:rsid w:val="64312FEF"/>
    <w:rsid w:val="644B25BC"/>
    <w:rsid w:val="645D6C5A"/>
    <w:rsid w:val="64746F5B"/>
    <w:rsid w:val="647C37ED"/>
    <w:rsid w:val="647F6D16"/>
    <w:rsid w:val="64CF69F7"/>
    <w:rsid w:val="64EB1866"/>
    <w:rsid w:val="64F702F2"/>
    <w:rsid w:val="65071D4D"/>
    <w:rsid w:val="6524077D"/>
    <w:rsid w:val="65287A29"/>
    <w:rsid w:val="6537436C"/>
    <w:rsid w:val="653E6DC8"/>
    <w:rsid w:val="654335A9"/>
    <w:rsid w:val="654805B8"/>
    <w:rsid w:val="654827B7"/>
    <w:rsid w:val="654A5B17"/>
    <w:rsid w:val="655E1155"/>
    <w:rsid w:val="655F4773"/>
    <w:rsid w:val="65711FE7"/>
    <w:rsid w:val="65735CB4"/>
    <w:rsid w:val="658B4525"/>
    <w:rsid w:val="658F1A56"/>
    <w:rsid w:val="6595132A"/>
    <w:rsid w:val="659970BE"/>
    <w:rsid w:val="659A6D3E"/>
    <w:rsid w:val="659C6640"/>
    <w:rsid w:val="65A240BE"/>
    <w:rsid w:val="65A273A9"/>
    <w:rsid w:val="65AD59E5"/>
    <w:rsid w:val="65AF55B5"/>
    <w:rsid w:val="65B7275D"/>
    <w:rsid w:val="65C77271"/>
    <w:rsid w:val="65CB5A52"/>
    <w:rsid w:val="660A2875"/>
    <w:rsid w:val="66286B79"/>
    <w:rsid w:val="663063EC"/>
    <w:rsid w:val="66306F43"/>
    <w:rsid w:val="664107D0"/>
    <w:rsid w:val="665265F4"/>
    <w:rsid w:val="667F2494"/>
    <w:rsid w:val="66A66BBF"/>
    <w:rsid w:val="66A97B93"/>
    <w:rsid w:val="66AB50FD"/>
    <w:rsid w:val="66AF2B2C"/>
    <w:rsid w:val="66B50A56"/>
    <w:rsid w:val="66BA5799"/>
    <w:rsid w:val="66C21851"/>
    <w:rsid w:val="66C91D89"/>
    <w:rsid w:val="66CB4EB1"/>
    <w:rsid w:val="66D218B6"/>
    <w:rsid w:val="66DC2453"/>
    <w:rsid w:val="66F36075"/>
    <w:rsid w:val="67046310"/>
    <w:rsid w:val="672833FF"/>
    <w:rsid w:val="673E43E2"/>
    <w:rsid w:val="675E64F5"/>
    <w:rsid w:val="6772565E"/>
    <w:rsid w:val="67726944"/>
    <w:rsid w:val="679D7D9D"/>
    <w:rsid w:val="679F3F90"/>
    <w:rsid w:val="67B84A87"/>
    <w:rsid w:val="67C36D33"/>
    <w:rsid w:val="67D61EEB"/>
    <w:rsid w:val="67E967D4"/>
    <w:rsid w:val="67EA1DE2"/>
    <w:rsid w:val="67F419F8"/>
    <w:rsid w:val="67F51F5D"/>
    <w:rsid w:val="67FF19F0"/>
    <w:rsid w:val="681D485E"/>
    <w:rsid w:val="6836320A"/>
    <w:rsid w:val="6839361B"/>
    <w:rsid w:val="685448E5"/>
    <w:rsid w:val="685A52F7"/>
    <w:rsid w:val="686F32ED"/>
    <w:rsid w:val="68763CFB"/>
    <w:rsid w:val="68775B46"/>
    <w:rsid w:val="68A128B9"/>
    <w:rsid w:val="68A9092E"/>
    <w:rsid w:val="68A94442"/>
    <w:rsid w:val="68AB1911"/>
    <w:rsid w:val="68B04D4E"/>
    <w:rsid w:val="68CC74D0"/>
    <w:rsid w:val="68D4658B"/>
    <w:rsid w:val="68DD058C"/>
    <w:rsid w:val="68E301F6"/>
    <w:rsid w:val="68E84B74"/>
    <w:rsid w:val="68F00BC3"/>
    <w:rsid w:val="68F632B3"/>
    <w:rsid w:val="68F75363"/>
    <w:rsid w:val="68FC28A7"/>
    <w:rsid w:val="690300E6"/>
    <w:rsid w:val="6910096E"/>
    <w:rsid w:val="69143AF1"/>
    <w:rsid w:val="691F736D"/>
    <w:rsid w:val="692563EE"/>
    <w:rsid w:val="692E15A4"/>
    <w:rsid w:val="6943050E"/>
    <w:rsid w:val="694C51A7"/>
    <w:rsid w:val="69514BDD"/>
    <w:rsid w:val="696F73EF"/>
    <w:rsid w:val="69725190"/>
    <w:rsid w:val="69785369"/>
    <w:rsid w:val="69811F27"/>
    <w:rsid w:val="69D4612E"/>
    <w:rsid w:val="69D9569F"/>
    <w:rsid w:val="69F02BD7"/>
    <w:rsid w:val="69FD72F2"/>
    <w:rsid w:val="6A3001E9"/>
    <w:rsid w:val="6A630CA5"/>
    <w:rsid w:val="6A6B0DD6"/>
    <w:rsid w:val="6A827D6A"/>
    <w:rsid w:val="6A9553FE"/>
    <w:rsid w:val="6AB77240"/>
    <w:rsid w:val="6ABE1C14"/>
    <w:rsid w:val="6AC30E38"/>
    <w:rsid w:val="6AD47BDE"/>
    <w:rsid w:val="6AF13863"/>
    <w:rsid w:val="6B2335D0"/>
    <w:rsid w:val="6B3660EF"/>
    <w:rsid w:val="6B3816B9"/>
    <w:rsid w:val="6B47278C"/>
    <w:rsid w:val="6B570F9E"/>
    <w:rsid w:val="6B6E044D"/>
    <w:rsid w:val="6B6E3CD1"/>
    <w:rsid w:val="6B704D44"/>
    <w:rsid w:val="6B7A4A17"/>
    <w:rsid w:val="6B7F1BF6"/>
    <w:rsid w:val="6B9512FD"/>
    <w:rsid w:val="6B9B58F1"/>
    <w:rsid w:val="6BB554FE"/>
    <w:rsid w:val="6BB87BB7"/>
    <w:rsid w:val="6BC12EDC"/>
    <w:rsid w:val="6BD12C1C"/>
    <w:rsid w:val="6BE76A97"/>
    <w:rsid w:val="6BF23772"/>
    <w:rsid w:val="6BF43FAF"/>
    <w:rsid w:val="6C0568F0"/>
    <w:rsid w:val="6C1363EA"/>
    <w:rsid w:val="6C144D5C"/>
    <w:rsid w:val="6C2D2EFC"/>
    <w:rsid w:val="6C3E480C"/>
    <w:rsid w:val="6C5002D5"/>
    <w:rsid w:val="6C5C5DC2"/>
    <w:rsid w:val="6C6476E1"/>
    <w:rsid w:val="6C83219C"/>
    <w:rsid w:val="6C850B5D"/>
    <w:rsid w:val="6C8A6F51"/>
    <w:rsid w:val="6C951535"/>
    <w:rsid w:val="6C9803A4"/>
    <w:rsid w:val="6CBE0F6B"/>
    <w:rsid w:val="6CC232FE"/>
    <w:rsid w:val="6CC85207"/>
    <w:rsid w:val="6CD53A52"/>
    <w:rsid w:val="6CD6290F"/>
    <w:rsid w:val="6CE931BD"/>
    <w:rsid w:val="6D243939"/>
    <w:rsid w:val="6D24429C"/>
    <w:rsid w:val="6D447778"/>
    <w:rsid w:val="6D620170"/>
    <w:rsid w:val="6D7A42CB"/>
    <w:rsid w:val="6D84645E"/>
    <w:rsid w:val="6D870B88"/>
    <w:rsid w:val="6D8F437E"/>
    <w:rsid w:val="6D990245"/>
    <w:rsid w:val="6DA66DF3"/>
    <w:rsid w:val="6DA822F6"/>
    <w:rsid w:val="6DB46943"/>
    <w:rsid w:val="6DC62455"/>
    <w:rsid w:val="6DCE2536"/>
    <w:rsid w:val="6DEF6BC6"/>
    <w:rsid w:val="6DF439AD"/>
    <w:rsid w:val="6E337CDC"/>
    <w:rsid w:val="6E3D27EA"/>
    <w:rsid w:val="6E3F5CED"/>
    <w:rsid w:val="6E4B323A"/>
    <w:rsid w:val="6E5A40EE"/>
    <w:rsid w:val="6E616028"/>
    <w:rsid w:val="6E6404AB"/>
    <w:rsid w:val="6E671D27"/>
    <w:rsid w:val="6E6D748B"/>
    <w:rsid w:val="6E7D48F4"/>
    <w:rsid w:val="6E884625"/>
    <w:rsid w:val="6E9C16AF"/>
    <w:rsid w:val="6EC54DDF"/>
    <w:rsid w:val="6EC640EA"/>
    <w:rsid w:val="6EDB24B2"/>
    <w:rsid w:val="6EE10B05"/>
    <w:rsid w:val="6EF44517"/>
    <w:rsid w:val="6EFD52D0"/>
    <w:rsid w:val="6EFF4478"/>
    <w:rsid w:val="6F0472BB"/>
    <w:rsid w:val="6F1063C6"/>
    <w:rsid w:val="6F206808"/>
    <w:rsid w:val="6F380483"/>
    <w:rsid w:val="6F44559B"/>
    <w:rsid w:val="6F48033A"/>
    <w:rsid w:val="6F4A74A4"/>
    <w:rsid w:val="6F537CC8"/>
    <w:rsid w:val="6F5B3B07"/>
    <w:rsid w:val="6F6B79D9"/>
    <w:rsid w:val="6F7A7501"/>
    <w:rsid w:val="6F891296"/>
    <w:rsid w:val="6F89280C"/>
    <w:rsid w:val="6F8C2FFA"/>
    <w:rsid w:val="6F8E2CBB"/>
    <w:rsid w:val="6F9B51B3"/>
    <w:rsid w:val="6F9E6757"/>
    <w:rsid w:val="6FAD23B4"/>
    <w:rsid w:val="6FAD5E72"/>
    <w:rsid w:val="6FCD7A7D"/>
    <w:rsid w:val="6FD101F3"/>
    <w:rsid w:val="6FD128A2"/>
    <w:rsid w:val="6FE51C7D"/>
    <w:rsid w:val="6FE54985"/>
    <w:rsid w:val="6FEC7554"/>
    <w:rsid w:val="6FF1283A"/>
    <w:rsid w:val="70065659"/>
    <w:rsid w:val="70550C5B"/>
    <w:rsid w:val="705D0266"/>
    <w:rsid w:val="707D659C"/>
    <w:rsid w:val="70953C43"/>
    <w:rsid w:val="70A43A00"/>
    <w:rsid w:val="70BB3E83"/>
    <w:rsid w:val="70C04A87"/>
    <w:rsid w:val="70D66C2B"/>
    <w:rsid w:val="70DD65B6"/>
    <w:rsid w:val="71010D74"/>
    <w:rsid w:val="710C5483"/>
    <w:rsid w:val="71116E10"/>
    <w:rsid w:val="712A7A44"/>
    <w:rsid w:val="712F63C0"/>
    <w:rsid w:val="713F2DD7"/>
    <w:rsid w:val="71622256"/>
    <w:rsid w:val="71645595"/>
    <w:rsid w:val="71657618"/>
    <w:rsid w:val="717C638C"/>
    <w:rsid w:val="719B216D"/>
    <w:rsid w:val="71B275F5"/>
    <w:rsid w:val="71B752EE"/>
    <w:rsid w:val="71E57BFF"/>
    <w:rsid w:val="720D4729"/>
    <w:rsid w:val="72106F1F"/>
    <w:rsid w:val="72141795"/>
    <w:rsid w:val="723165C3"/>
    <w:rsid w:val="723959AF"/>
    <w:rsid w:val="72400874"/>
    <w:rsid w:val="724062B5"/>
    <w:rsid w:val="7256229D"/>
    <w:rsid w:val="725C42EA"/>
    <w:rsid w:val="725F0CB0"/>
    <w:rsid w:val="726436E6"/>
    <w:rsid w:val="72700C83"/>
    <w:rsid w:val="727D679A"/>
    <w:rsid w:val="729B79DD"/>
    <w:rsid w:val="72A154A1"/>
    <w:rsid w:val="72A542CF"/>
    <w:rsid w:val="72A62637"/>
    <w:rsid w:val="72C4362F"/>
    <w:rsid w:val="72C928DE"/>
    <w:rsid w:val="72D773DC"/>
    <w:rsid w:val="72E56D1C"/>
    <w:rsid w:val="72F67F2A"/>
    <w:rsid w:val="72F94E1F"/>
    <w:rsid w:val="72FF5D3E"/>
    <w:rsid w:val="73035041"/>
    <w:rsid w:val="730936C7"/>
    <w:rsid w:val="731474DA"/>
    <w:rsid w:val="731D375B"/>
    <w:rsid w:val="732B70FF"/>
    <w:rsid w:val="732E4011"/>
    <w:rsid w:val="73422268"/>
    <w:rsid w:val="73426D24"/>
    <w:rsid w:val="735F0767"/>
    <w:rsid w:val="737372C4"/>
    <w:rsid w:val="737A6814"/>
    <w:rsid w:val="739D6139"/>
    <w:rsid w:val="739E3BBB"/>
    <w:rsid w:val="73B02110"/>
    <w:rsid w:val="73B12315"/>
    <w:rsid w:val="73B91824"/>
    <w:rsid w:val="73CE0E30"/>
    <w:rsid w:val="73DD5195"/>
    <w:rsid w:val="73E049C3"/>
    <w:rsid w:val="73E669A6"/>
    <w:rsid w:val="74044161"/>
    <w:rsid w:val="74152900"/>
    <w:rsid w:val="74194164"/>
    <w:rsid w:val="742D6B25"/>
    <w:rsid w:val="744446C4"/>
    <w:rsid w:val="744A0DD8"/>
    <w:rsid w:val="745C0BFD"/>
    <w:rsid w:val="74716F61"/>
    <w:rsid w:val="74806A55"/>
    <w:rsid w:val="74890423"/>
    <w:rsid w:val="748B003A"/>
    <w:rsid w:val="7494338D"/>
    <w:rsid w:val="74994FF2"/>
    <w:rsid w:val="74A774D2"/>
    <w:rsid w:val="74BA0C6B"/>
    <w:rsid w:val="74EA165E"/>
    <w:rsid w:val="74EE31EA"/>
    <w:rsid w:val="74F841F7"/>
    <w:rsid w:val="75333D34"/>
    <w:rsid w:val="7546677D"/>
    <w:rsid w:val="754B2AC0"/>
    <w:rsid w:val="75510759"/>
    <w:rsid w:val="757031D9"/>
    <w:rsid w:val="757C7FD0"/>
    <w:rsid w:val="75821CC1"/>
    <w:rsid w:val="75842DFC"/>
    <w:rsid w:val="758D46EB"/>
    <w:rsid w:val="759C779B"/>
    <w:rsid w:val="75BE0722"/>
    <w:rsid w:val="75C332E5"/>
    <w:rsid w:val="75D00657"/>
    <w:rsid w:val="75D23CAF"/>
    <w:rsid w:val="75EB6D71"/>
    <w:rsid w:val="75EF6E70"/>
    <w:rsid w:val="75FE5CA3"/>
    <w:rsid w:val="76075BC7"/>
    <w:rsid w:val="760A6332"/>
    <w:rsid w:val="76375681"/>
    <w:rsid w:val="7638018B"/>
    <w:rsid w:val="763B2045"/>
    <w:rsid w:val="763D3EB9"/>
    <w:rsid w:val="76437D02"/>
    <w:rsid w:val="765120A6"/>
    <w:rsid w:val="76732FA6"/>
    <w:rsid w:val="76866E81"/>
    <w:rsid w:val="769750A3"/>
    <w:rsid w:val="769C48A8"/>
    <w:rsid w:val="769D232A"/>
    <w:rsid w:val="76A07A2B"/>
    <w:rsid w:val="76A9033B"/>
    <w:rsid w:val="76BF7D3D"/>
    <w:rsid w:val="76EC529C"/>
    <w:rsid w:val="770551D1"/>
    <w:rsid w:val="771C1A7B"/>
    <w:rsid w:val="771E3231"/>
    <w:rsid w:val="77247924"/>
    <w:rsid w:val="772B1B20"/>
    <w:rsid w:val="772E19EB"/>
    <w:rsid w:val="77634F3B"/>
    <w:rsid w:val="776A32DE"/>
    <w:rsid w:val="77735805"/>
    <w:rsid w:val="777506B6"/>
    <w:rsid w:val="77815E20"/>
    <w:rsid w:val="77907953"/>
    <w:rsid w:val="7794703F"/>
    <w:rsid w:val="77BA39FB"/>
    <w:rsid w:val="77C5560F"/>
    <w:rsid w:val="77D62A56"/>
    <w:rsid w:val="77DE5C30"/>
    <w:rsid w:val="77E62733"/>
    <w:rsid w:val="77F84B71"/>
    <w:rsid w:val="78000440"/>
    <w:rsid w:val="78096FFD"/>
    <w:rsid w:val="78293DC3"/>
    <w:rsid w:val="782D2D9B"/>
    <w:rsid w:val="785D218D"/>
    <w:rsid w:val="789B7539"/>
    <w:rsid w:val="78B5425B"/>
    <w:rsid w:val="78B8009B"/>
    <w:rsid w:val="78B8567C"/>
    <w:rsid w:val="78B91684"/>
    <w:rsid w:val="78C0202A"/>
    <w:rsid w:val="78C86E1F"/>
    <w:rsid w:val="78D064C9"/>
    <w:rsid w:val="78DC4DD7"/>
    <w:rsid w:val="78E84A09"/>
    <w:rsid w:val="78ED684E"/>
    <w:rsid w:val="78F05099"/>
    <w:rsid w:val="78F06113"/>
    <w:rsid w:val="78F07334"/>
    <w:rsid w:val="78F45D01"/>
    <w:rsid w:val="78F7615B"/>
    <w:rsid w:val="78FD2962"/>
    <w:rsid w:val="79106654"/>
    <w:rsid w:val="792668B7"/>
    <w:rsid w:val="79284D7A"/>
    <w:rsid w:val="79307089"/>
    <w:rsid w:val="793C2C34"/>
    <w:rsid w:val="79464653"/>
    <w:rsid w:val="79542BD5"/>
    <w:rsid w:val="795934A7"/>
    <w:rsid w:val="7972490E"/>
    <w:rsid w:val="798B23A6"/>
    <w:rsid w:val="798D349A"/>
    <w:rsid w:val="798F6F60"/>
    <w:rsid w:val="799B610F"/>
    <w:rsid w:val="79A86542"/>
    <w:rsid w:val="79B35EAF"/>
    <w:rsid w:val="79D20A7A"/>
    <w:rsid w:val="79DC497A"/>
    <w:rsid w:val="79EC33C3"/>
    <w:rsid w:val="79F94256"/>
    <w:rsid w:val="7A0138B5"/>
    <w:rsid w:val="7A081DA1"/>
    <w:rsid w:val="7A1C4DC7"/>
    <w:rsid w:val="7A202634"/>
    <w:rsid w:val="7A3A078E"/>
    <w:rsid w:val="7A3B0217"/>
    <w:rsid w:val="7A3F1373"/>
    <w:rsid w:val="7A446928"/>
    <w:rsid w:val="7A4C7BCA"/>
    <w:rsid w:val="7A510FC3"/>
    <w:rsid w:val="7A683EDB"/>
    <w:rsid w:val="7A7D33B9"/>
    <w:rsid w:val="7A850292"/>
    <w:rsid w:val="7A991285"/>
    <w:rsid w:val="7AAA129C"/>
    <w:rsid w:val="7AB2157C"/>
    <w:rsid w:val="7AB674B0"/>
    <w:rsid w:val="7AC528C4"/>
    <w:rsid w:val="7AD82A98"/>
    <w:rsid w:val="7ADB4516"/>
    <w:rsid w:val="7AE80992"/>
    <w:rsid w:val="7AE9752E"/>
    <w:rsid w:val="7B0320BB"/>
    <w:rsid w:val="7B0B75EA"/>
    <w:rsid w:val="7B1633FD"/>
    <w:rsid w:val="7B1E76B6"/>
    <w:rsid w:val="7B2639D5"/>
    <w:rsid w:val="7B2704E6"/>
    <w:rsid w:val="7B2B241B"/>
    <w:rsid w:val="7B322F4F"/>
    <w:rsid w:val="7B325683"/>
    <w:rsid w:val="7B373932"/>
    <w:rsid w:val="7B5204F9"/>
    <w:rsid w:val="7B6E3852"/>
    <w:rsid w:val="7B741218"/>
    <w:rsid w:val="7B7714E5"/>
    <w:rsid w:val="7B9507DE"/>
    <w:rsid w:val="7BB85DCA"/>
    <w:rsid w:val="7BBF3C16"/>
    <w:rsid w:val="7BCD7043"/>
    <w:rsid w:val="7BDA2B39"/>
    <w:rsid w:val="7BDA5152"/>
    <w:rsid w:val="7BE17F2A"/>
    <w:rsid w:val="7C000DFC"/>
    <w:rsid w:val="7C081A8C"/>
    <w:rsid w:val="7C2413BC"/>
    <w:rsid w:val="7C57180B"/>
    <w:rsid w:val="7C714109"/>
    <w:rsid w:val="7C920399"/>
    <w:rsid w:val="7C942255"/>
    <w:rsid w:val="7C9C55B4"/>
    <w:rsid w:val="7CA544A2"/>
    <w:rsid w:val="7CB00FA0"/>
    <w:rsid w:val="7CB61C04"/>
    <w:rsid w:val="7CC95089"/>
    <w:rsid w:val="7CCD67D7"/>
    <w:rsid w:val="7CEE0140"/>
    <w:rsid w:val="7CF11D6C"/>
    <w:rsid w:val="7CF45745"/>
    <w:rsid w:val="7D071031"/>
    <w:rsid w:val="7D125D38"/>
    <w:rsid w:val="7D1A7436"/>
    <w:rsid w:val="7D1C5B89"/>
    <w:rsid w:val="7D2334DD"/>
    <w:rsid w:val="7D2D6511"/>
    <w:rsid w:val="7D391F48"/>
    <w:rsid w:val="7D626845"/>
    <w:rsid w:val="7D671530"/>
    <w:rsid w:val="7D6731DE"/>
    <w:rsid w:val="7D8444A2"/>
    <w:rsid w:val="7D8F47AE"/>
    <w:rsid w:val="7DA12AC3"/>
    <w:rsid w:val="7DAA16F6"/>
    <w:rsid w:val="7DB33F81"/>
    <w:rsid w:val="7DC13754"/>
    <w:rsid w:val="7DD541DC"/>
    <w:rsid w:val="7DD846F3"/>
    <w:rsid w:val="7DDD618F"/>
    <w:rsid w:val="7DE14EF9"/>
    <w:rsid w:val="7DE30098"/>
    <w:rsid w:val="7DED65B6"/>
    <w:rsid w:val="7DF90B2F"/>
    <w:rsid w:val="7E161F9F"/>
    <w:rsid w:val="7E183EEA"/>
    <w:rsid w:val="7E333702"/>
    <w:rsid w:val="7E334E25"/>
    <w:rsid w:val="7E440B2B"/>
    <w:rsid w:val="7E49635F"/>
    <w:rsid w:val="7E535313"/>
    <w:rsid w:val="7E64135D"/>
    <w:rsid w:val="7E6752B6"/>
    <w:rsid w:val="7E80292D"/>
    <w:rsid w:val="7E855AE7"/>
    <w:rsid w:val="7E8E0F8F"/>
    <w:rsid w:val="7E9C52ED"/>
    <w:rsid w:val="7E9D4991"/>
    <w:rsid w:val="7E9D718F"/>
    <w:rsid w:val="7EAA0221"/>
    <w:rsid w:val="7EB02A3C"/>
    <w:rsid w:val="7EBF59EE"/>
    <w:rsid w:val="7EC806B7"/>
    <w:rsid w:val="7EED3DCE"/>
    <w:rsid w:val="7EFA5662"/>
    <w:rsid w:val="7EFD07E5"/>
    <w:rsid w:val="7F005F07"/>
    <w:rsid w:val="7F0213A6"/>
    <w:rsid w:val="7F086B76"/>
    <w:rsid w:val="7F181DB2"/>
    <w:rsid w:val="7F1E29EB"/>
    <w:rsid w:val="7F2408B1"/>
    <w:rsid w:val="7F242C23"/>
    <w:rsid w:val="7F251450"/>
    <w:rsid w:val="7F253F27"/>
    <w:rsid w:val="7F381A47"/>
    <w:rsid w:val="7F3932D6"/>
    <w:rsid w:val="7F3B3199"/>
    <w:rsid w:val="7F3D07F6"/>
    <w:rsid w:val="7F4E72EA"/>
    <w:rsid w:val="7F531588"/>
    <w:rsid w:val="7F5F13E6"/>
    <w:rsid w:val="7F7B362A"/>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ind w:left="576"/>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link w:val="85"/>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9"/>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paragraph" w:styleId="26">
    <w:name w:val="annotation subject"/>
    <w:basedOn w:val="20"/>
    <w:next w:val="20"/>
    <w:link w:val="86"/>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character" w:styleId="33">
    <w:name w:val="annotation reference"/>
    <w:basedOn w:val="29"/>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84"/>
    <w:qFormat/>
    <w:uiPriority w:val="0"/>
    <w:pPr>
      <w:keepNext/>
      <w:keepLines/>
      <w:spacing w:after="0"/>
    </w:pPr>
    <w:rPr>
      <w:rFonts w:ascii="Arial" w:hAnsi="Arial"/>
      <w:sz w:val="18"/>
    </w:rPr>
  </w:style>
  <w:style w:type="paragraph" w:customStyle="1" w:styleId="43">
    <w:name w:val="TAH"/>
    <w:basedOn w:val="44"/>
    <w:link w:val="81"/>
    <w:qFormat/>
    <w:uiPriority w:val="0"/>
    <w:rPr>
      <w:b/>
    </w:rPr>
  </w:style>
  <w:style w:type="paragraph" w:customStyle="1" w:styleId="44">
    <w:name w:val="TAC"/>
    <w:basedOn w:val="42"/>
    <w:link w:val="80"/>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link w:val="82"/>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1"/>
    <w:link w:val="83"/>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2"/>
    <w:qFormat/>
    <w:uiPriority w:val="0"/>
    <w:rPr>
      <w:rFonts w:ascii="Segoe UI" w:hAnsi="Segoe UI" w:cs="Segoe UI"/>
      <w:sz w:val="18"/>
      <w:szCs w:val="18"/>
      <w:lang w:eastAsia="en-US"/>
    </w:rPr>
  </w:style>
  <w:style w:type="character" w:customStyle="1" w:styleId="70">
    <w:name w:val="Unresolved Mention"/>
    <w:basedOn w:val="29"/>
    <w:semiHidden/>
    <w:unhideWhenUsed/>
    <w:qFormat/>
    <w:uiPriority w:val="99"/>
    <w:rPr>
      <w:color w:val="605E5C"/>
      <w:shd w:val="clear" w:color="auto" w:fill="E1DFDD"/>
    </w:rPr>
  </w:style>
  <w:style w:type="paragraph" w:styleId="71">
    <w:name w:val="List Paragraph"/>
    <w:basedOn w:val="1"/>
    <w:link w:val="72"/>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2">
    <w:name w:val="列出段落 字符"/>
    <w:link w:val="71"/>
    <w:qFormat/>
    <w:locked/>
    <w:uiPriority w:val="34"/>
    <w:rPr>
      <w:rFonts w:asciiTheme="minorHAnsi" w:hAnsiTheme="minorHAnsi" w:eastAsiaTheme="minorHAnsi" w:cstheme="minorBidi"/>
      <w:sz w:val="22"/>
      <w:szCs w:val="22"/>
      <w:lang w:val="sv-SE" w:eastAsia="en-US"/>
    </w:rPr>
  </w:style>
  <w:style w:type="paragraph" w:customStyle="1" w:styleId="73">
    <w:name w:val="CR Cover Page"/>
    <w:link w:val="74"/>
    <w:qFormat/>
    <w:uiPriority w:val="0"/>
    <w:pPr>
      <w:spacing w:after="120"/>
    </w:pPr>
    <w:rPr>
      <w:rFonts w:ascii="Arial" w:hAnsi="Arial" w:eastAsia="Times New Roman" w:cs="Times New Roman"/>
      <w:lang w:val="en-GB" w:eastAsia="en-US" w:bidi="ar-SA"/>
    </w:rPr>
  </w:style>
  <w:style w:type="character" w:customStyle="1" w:styleId="74">
    <w:name w:val="CR Cover Page Char"/>
    <w:link w:val="73"/>
    <w:qFormat/>
    <w:uiPriority w:val="0"/>
    <w:rPr>
      <w:rFonts w:ascii="Arial" w:hAnsi="Arial"/>
      <w:lang w:eastAsia="en-US"/>
    </w:rPr>
  </w:style>
  <w:style w:type="paragraph" w:customStyle="1" w:styleId="75">
    <w:name w:val="RAN4 H1"/>
    <w:basedOn w:val="1"/>
    <w:next w:val="1"/>
    <w:link w:val="76"/>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6">
    <w:name w:val="RAN4 H1 Char"/>
    <w:basedOn w:val="29"/>
    <w:link w:val="75"/>
    <w:qFormat/>
    <w:uiPriority w:val="0"/>
    <w:rPr>
      <w:rFonts w:ascii="Arial" w:hAnsi="Arial" w:eastAsia="宋体" w:cs="Times New Roman"/>
      <w:sz w:val="36"/>
      <w:szCs w:val="20"/>
      <w:lang w:val="en-GB"/>
    </w:rPr>
  </w:style>
  <w:style w:type="paragraph" w:customStyle="1" w:styleId="77">
    <w:name w:val="RAN4 H2"/>
    <w:basedOn w:val="3"/>
    <w:next w:val="1"/>
    <w:qFormat/>
    <w:uiPriority w:val="0"/>
    <w:pPr>
      <w:numPr>
        <w:numId w:val="2"/>
      </w:numPr>
    </w:pPr>
    <w:rPr>
      <w:lang w:val="en-US"/>
    </w:rPr>
  </w:style>
  <w:style w:type="paragraph" w:customStyle="1" w:styleId="78">
    <w:name w:val="RAN4 proposal"/>
    <w:basedOn w:val="19"/>
    <w:next w:val="1"/>
    <w:qFormat/>
    <w:uiPriority w:val="0"/>
    <w:pPr>
      <w:numPr>
        <w:ilvl w:val="0"/>
        <w:numId w:val="3"/>
      </w:numPr>
      <w:ind w:left="0" w:firstLine="0"/>
      <w:jc w:val="left"/>
    </w:pPr>
    <w:rPr>
      <w:rFonts w:ascii="Times New Roman" w:hAnsi="Times New Roman"/>
      <w:b/>
      <w:i w:val="0"/>
      <w:sz w:val="20"/>
    </w:rPr>
  </w:style>
  <w:style w:type="paragraph" w:customStyle="1" w:styleId="79">
    <w:name w:val="Reference"/>
    <w:basedOn w:val="1"/>
    <w:qFormat/>
    <w:uiPriority w:val="0"/>
    <w:pPr>
      <w:spacing w:after="0"/>
      <w:ind w:left="567" w:hanging="283"/>
    </w:pPr>
    <w:rPr>
      <w:lang w:eastAsia="en-GB"/>
    </w:rPr>
  </w:style>
  <w:style w:type="character" w:customStyle="1" w:styleId="80">
    <w:name w:val="TAC Char"/>
    <w:link w:val="44"/>
    <w:qFormat/>
    <w:locked/>
    <w:uiPriority w:val="0"/>
    <w:rPr>
      <w:rFonts w:ascii="Arial" w:hAnsi="Arial" w:eastAsia="Times New Roman"/>
      <w:sz w:val="18"/>
      <w:lang w:val="en-GB" w:eastAsia="en-US"/>
    </w:rPr>
  </w:style>
  <w:style w:type="character" w:customStyle="1" w:styleId="81">
    <w:name w:val="TAH Car"/>
    <w:link w:val="43"/>
    <w:qFormat/>
    <w:locked/>
    <w:uiPriority w:val="0"/>
    <w:rPr>
      <w:rFonts w:ascii="Arial" w:hAnsi="Arial" w:eastAsia="Times New Roman"/>
      <w:b/>
      <w:sz w:val="18"/>
      <w:lang w:val="en-GB" w:eastAsia="en-US"/>
    </w:rPr>
  </w:style>
  <w:style w:type="character" w:customStyle="1" w:styleId="82">
    <w:name w:val="B1 (文字)"/>
    <w:link w:val="50"/>
    <w:qFormat/>
    <w:locked/>
    <w:uiPriority w:val="0"/>
    <w:rPr>
      <w:rFonts w:eastAsia="Times New Roman"/>
      <w:lang w:val="en-GB" w:eastAsia="en-US"/>
    </w:rPr>
  </w:style>
  <w:style w:type="character" w:customStyle="1" w:styleId="83">
    <w:name w:val="B2 Char"/>
    <w:link w:val="61"/>
    <w:qFormat/>
    <w:uiPriority w:val="0"/>
    <w:rPr>
      <w:rFonts w:eastAsia="Times New Roman"/>
      <w:lang w:val="en-GB" w:eastAsia="en-US"/>
    </w:rPr>
  </w:style>
  <w:style w:type="character" w:customStyle="1" w:styleId="84">
    <w:name w:val="TAL Char"/>
    <w:link w:val="42"/>
    <w:qFormat/>
    <w:locked/>
    <w:uiPriority w:val="0"/>
    <w:rPr>
      <w:rFonts w:ascii="Arial" w:hAnsi="Arial" w:eastAsia="Times New Roman"/>
      <w:sz w:val="18"/>
      <w:lang w:val="en-GB" w:eastAsia="en-US"/>
    </w:rPr>
  </w:style>
  <w:style w:type="character" w:customStyle="1" w:styleId="85">
    <w:name w:val="批注文字 字符"/>
    <w:basedOn w:val="29"/>
    <w:link w:val="20"/>
    <w:qFormat/>
    <w:uiPriority w:val="0"/>
    <w:rPr>
      <w:rFonts w:eastAsia="Times New Roman"/>
      <w:lang w:val="en-GB" w:eastAsia="en-US"/>
    </w:rPr>
  </w:style>
  <w:style w:type="character" w:customStyle="1" w:styleId="86">
    <w:name w:val="批注主题 字符"/>
    <w:basedOn w:val="85"/>
    <w:link w:val="26"/>
    <w:qFormat/>
    <w:uiPriority w:val="0"/>
    <w:rPr>
      <w:rFonts w:eastAsia="Times New Roman"/>
      <w:b/>
      <w:bCs/>
      <w:lang w:val="en-GB" w:eastAsia="en-US"/>
    </w:rPr>
  </w:style>
  <w:style w:type="paragraph" w:customStyle="1" w:styleId="87">
    <w:name w:val="Agreement"/>
    <w:basedOn w:val="1"/>
    <w:next w:val="88"/>
    <w:qFormat/>
    <w:uiPriority w:val="0"/>
    <w:pPr>
      <w:numPr>
        <w:ilvl w:val="0"/>
        <w:numId w:val="4"/>
      </w:numPr>
      <w:tabs>
        <w:tab w:val="left" w:pos="1619"/>
      </w:tabs>
      <w:spacing w:before="60"/>
      <w:ind w:left="1616" w:hanging="357"/>
    </w:pPr>
    <w:rPr>
      <w:b/>
    </w:rPr>
  </w:style>
  <w:style w:type="paragraph" w:customStyle="1" w:styleId="88">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89">
    <w:name w:val="Doc-title"/>
    <w:basedOn w:val="1"/>
    <w:next w:val="88"/>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72</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2024-10-07T13:18:58Z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